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Engineering US v2.1</w:t>
      </w:r>
    </w:p>
    <w:p>
      <w:r>
        <w:t>Department: Engineering</w:t>
      </w:r>
    </w:p>
    <w:p>
      <w:r>
        <w:t>Author: Jordan Nguyen</w:t>
      </w:r>
    </w:p>
    <w:p>
      <w:r>
        <w:t>Created date: 2024-05-07</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Engineering organization uses AWS to enforce consistent service baselines. Teams must log requests in Workday and track outcomes in Document Repository for audit readiness. All changes require peer review and validation in the Document Repository before production promotion.</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Teams must log requests in Workday and track outcomes in Document Repository for audit readiness.</w:t>
      </w:r>
    </w:p>
    <w:p>
      <w:pPr>
        <w:pStyle w:val="ListBullet"/>
      </w:pPr>
      <w:r>
        <w:t>Teams must log requests in Workday and track outcomes in Document Repository for audit readiness.</w:t>
      </w:r>
    </w:p>
    <w:p>
      <w:pPr>
        <w:pStyle w:val="ListBullet"/>
      </w:pPr>
      <w:r>
        <w:t>The process integrates with Document Repository and depends on AWS for telemetry signals.</w:t>
      </w:r>
    </w:p>
    <w:p>
      <w:pPr>
        <w:pStyle w:val="ListBullet"/>
      </w:pPr>
      <w:r>
        <w:t>Teams must log requests in Workday and track outcomes in Document Repository for audit readiness.</w:t>
      </w:r>
    </w:p>
    <w:p>
      <w:pPr>
        <w:pStyle w:val="Heading1"/>
      </w:pPr>
      <w:r>
        <w:t>Approval Workflow</w:t>
      </w:r>
    </w:p>
    <w:p>
      <w:r>
        <w:t>Systems are monitored via AWS and alert routing in Workday. Regional teams in US follow the same policy with localized legal review.</w:t>
      </w:r>
    </w:p>
    <w:p>
      <w:r>
        <w:t>Escalations should follow the on-call rotation with a response target of 30 minutes. All changes require peer review and validation in the Document Repository before production promotion. Stakeholders include the Product Manager, service owner, and compliance lead for approvals. Teams must log requests in Workday and track outcomes in Document Repository for audit readiness.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Risk acceptance must be documented and revalidated each quarter.</w:t>
      </w:r>
    </w:p>
    <w:p>
      <w:pPr>
        <w:pStyle w:val="ListBullet"/>
      </w:pPr>
      <w:r>
        <w:t>The process integrates with Document Repository and depends on AWS for telemetry signals.</w:t>
      </w:r>
    </w:p>
    <w:p>
      <w:pPr>
        <w:pStyle w:val="Heading1"/>
      </w:pPr>
      <w:r>
        <w:t>Budget Controls</w:t>
      </w:r>
    </w:p>
    <w:p>
      <w:r>
        <w:t>Evidence artifacts are retained in Workday for at least 12 months. Teams must log requests in Workday and track outcomes in Document Repository for audit readiness. The Engineering organization uses AWS to enforce consistent service baselines. Escalations should follow the on-call rotation with a response target of 30 minutes.</w:t>
      </w:r>
    </w:p>
    <w:p>
      <w:pPr>
        <w:pStyle w:val="ListBullet"/>
      </w:pPr>
      <w:r>
        <w:t>Escalations should follow the on-call rotation with a response target of 30 minutes.</w:t>
      </w:r>
    </w:p>
    <w:p>
      <w:pPr>
        <w:pStyle w:val="ListBullet"/>
      </w:pPr>
      <w:r>
        <w:t>All changes require peer review and validation in the Document Repository before production promotion.</w:t>
      </w:r>
    </w:p>
    <w:p>
      <w:pPr>
        <w:pStyle w:val="ListBullet"/>
      </w:pPr>
      <w:r>
        <w:t>The process integrates with Document Repository and depends on AWS for telemetry signals.</w:t>
      </w:r>
    </w:p>
    <w:p>
      <w:pPr>
        <w:pStyle w:val="ListBullet"/>
      </w:pPr>
      <w:r>
        <w:t>The Engineering organization uses AWS to enforce consistent service baselines.</w:t>
      </w:r>
    </w:p>
    <w:p>
      <w:pPr>
        <w:pStyle w:val="Heading1"/>
      </w:pPr>
      <w:r>
        <w:t>Reporting</w:t>
      </w:r>
    </w:p>
    <w:p>
      <w:r>
        <w:t>Audit sampling occurs monthly and is summarized in leadership dashboards. Systems are monitored via AWS and alert routing in Workday.</w:t>
      </w:r>
    </w:p>
    <w:p>
      <w:pPr>
        <w:pStyle w:val="ListBullet"/>
      </w:pPr>
      <w:r>
        <w:t>Systems are monitored via AWS and alert routing in Workday.</w:t>
      </w:r>
    </w:p>
    <w:p>
      <w:pPr>
        <w:pStyle w:val="ListBullet"/>
      </w:pPr>
      <w:r>
        <w:t>This document aligns with GDPR requirements and supports US data residency expectations.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changes require peer review and validation in the Document Repository before production promotion.</w:t>
      </w:r>
    </w:p>
    <w:p>
      <w:pPr>
        <w:pStyle w:val="ListBullet"/>
      </w:pPr>
      <w:r>
        <w:t>Audit sampling occurs monthly and is summarized in leadership dashboards.</w:t>
      </w:r>
    </w:p>
    <w:p>
      <w:pPr>
        <w:pStyle w:val="Heading1"/>
      </w:pPr>
      <w:r>
        <w:t>Audit Trail</w:t>
      </w:r>
    </w:p>
    <w:p>
      <w:r>
        <w:t>Risk acceptance must be documented and revalidated each quarter. Risk acceptance must be documented and revalidated each quarter. Systems are monitored via AWS and alert routing in Workday.</w:t>
      </w:r>
    </w:p>
    <w:p>
      <w:pPr>
        <w:pStyle w:val="ListBullet"/>
      </w:pPr>
      <w:r>
        <w:t>Teams must log requests in Workday and track outcomes in Document Repository for audit readiness.</w:t>
      </w:r>
    </w:p>
    <w:p>
      <w:pPr>
        <w:pStyle w:val="ListBullet"/>
      </w:pPr>
      <w:r>
        <w:t>The process integrates with Document Repository and depends on AWS for telemetry signals.</w:t>
      </w:r>
    </w:p>
    <w:p>
      <w:pPr>
        <w:pStyle w:val="ListBullet"/>
      </w:pPr>
      <w:r>
        <w:t>We prioritize customer impact, data integrity, and regulatory alignment.</w:t>
      </w:r>
    </w:p>
    <w:p>
      <w:pPr>
        <w:pStyle w:val="ListBullet"/>
      </w:pPr>
      <w:r>
        <w:t>This document aligns with GDPR requirements and supports US data residency expectations.</w:t>
      </w:r>
    </w:p>
    <w:p>
      <w:pPr>
        <w:pStyle w:val="ListBullet"/>
      </w:pPr>
      <w:r>
        <w:t>Evidence artifacts are retained in Workday for at least 12 months.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Access review</w:t>
            </w:r>
          </w:p>
        </w:tc>
        <w:tc>
          <w:tcPr>
            <w:tcW w:type="dxa" w:w="2880"/>
          </w:tcPr>
          <w:p>
            <w:r>
              <w:t>Engineering</w:t>
            </w:r>
          </w:p>
        </w:tc>
        <w:tc>
          <w:tcPr>
            <w:tcW w:type="dxa" w:w="2880"/>
          </w:tcPr>
          <w:p>
            <w:r>
              <w:t>Planned</w:t>
            </w:r>
          </w:p>
        </w:tc>
      </w:tr>
      <w:tr>
        <w:tc>
          <w:tcPr>
            <w:tcW w:type="dxa" w:w="2880"/>
          </w:tcPr>
          <w:p>
            <w:r>
              <w:t>Backup validation</w:t>
            </w:r>
          </w:p>
        </w:tc>
        <w:tc>
          <w:tcPr>
            <w:tcW w:type="dxa" w:w="2880"/>
          </w:tcPr>
          <w:p>
            <w:r>
              <w:t>Product Manager</w:t>
            </w:r>
          </w:p>
        </w:tc>
        <w:tc>
          <w:tcPr>
            <w:tcW w:type="dxa" w:w="2880"/>
          </w:tcPr>
          <w:p>
            <w:r>
              <w:t>Blocked</w:t>
            </w:r>
          </w:p>
        </w:tc>
      </w:tr>
      <w:tr>
        <w:tc>
          <w:tcPr>
            <w:tcW w:type="dxa" w:w="2880"/>
          </w:tcPr>
          <w:p>
            <w:r>
              <w:t>Patch window</w:t>
            </w:r>
          </w:p>
        </w:tc>
        <w:tc>
          <w:tcPr>
            <w:tcW w:type="dxa" w:w="2880"/>
          </w:tcPr>
          <w:p>
            <w:r>
              <w:t>Engineering</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