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Finance APAC v2.1</w:t>
      </w:r>
    </w:p>
    <w:p>
      <w:r>
        <w:t>Department: Finance</w:t>
      </w:r>
    </w:p>
    <w:p>
      <w:r>
        <w:t>Author: Avery Brown</w:t>
      </w:r>
    </w:p>
    <w:p>
      <w:r>
        <w:t>Created date: 2024-11-28</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Finance team coordinates with Systems Engineer to maintain operational readiness. The Finance organization uses AWS to enforce consistent service baselines. Evidence artifacts are retained in Salesforce for at least 24 months.</w:t>
      </w:r>
    </w:p>
    <w:p>
      <w:r>
        <w:t>The Finance team coordinates with Systems Engineer to maintain operational readiness. Escalations should follow the on-call rotation with a response target of 45 minutes. The Finance team coordinates with Systems Engineer to maintain operational readiness. Teams must log requests in Salesforce and track outcomes in CRM Platform for audit readiness.</w:t>
      </w:r>
    </w:p>
    <w:p>
      <w:pPr>
        <w:pStyle w:val="ListBullet"/>
      </w:pPr>
      <w:r>
        <w:t>Escalations should follow the on-call rotation with a response target of 45 minutes.</w:t>
      </w:r>
    </w:p>
    <w:p>
      <w:pPr>
        <w:pStyle w:val="ListBullet"/>
      </w:pPr>
      <w:r>
        <w:t>Evidence artifacts are retained in Salesforce for at least 24 months.</w:t>
      </w:r>
    </w:p>
    <w:p>
      <w:pPr>
        <w:pStyle w:val="ListBullet"/>
      </w:pPr>
      <w:r>
        <w:t>The Finance organization uses AWS to enforce consistent service baselines.</w:t>
      </w:r>
    </w:p>
    <w:p>
      <w:pPr>
        <w:pStyle w:val="ListBullet"/>
      </w:pPr>
      <w:r>
        <w:t>Regional teams in APAC follow the same policy with localized legal review.</w:t>
      </w:r>
    </w:p>
    <w:p>
      <w:pPr>
        <w:pStyle w:val="ListBullet"/>
      </w:pPr>
      <w:r>
        <w:t>Stakeholders include the Systems Engineer, service owner, and compliance lead for approvals.</w:t>
      </w:r>
    </w:p>
    <w:p>
      <w:pPr>
        <w:pStyle w:val="Heading1"/>
      </w:pPr>
      <w:r>
        <w:t>Approval Workflow</w:t>
      </w:r>
    </w:p>
    <w:p>
      <w:r>
        <w:t>Escalations should follow the on-call rotation with a response target of 45 minutes. Teams must log requests in Salesforce and track outcomes in CRM Platform for audit readiness. Risk acceptance must be documented and revalidated each quarter. Escalations should follow the on-call rotation with a response target of 45 minutes.</w:t>
      </w:r>
    </w:p>
    <w:p>
      <w:r>
        <w:t>Stakeholders include the Systems Engineer, service owner, and compliance lead for approvals. We prioritize customer impact, data integrity, and regulatory alignment. Teams must log requests in Salesforce and track outcomes in CRM Platform for audit readiness.</w:t>
      </w:r>
    </w:p>
    <w:p>
      <w:pPr>
        <w:pStyle w:val="ListBullet"/>
      </w:pPr>
      <w:r>
        <w:t>All incidents are tagged with severity and mapped to service tiers.</w:t>
      </w:r>
    </w:p>
    <w:p>
      <w:pPr>
        <w:pStyle w:val="ListBullet"/>
      </w:pPr>
      <w:r>
        <w:t>All changes require peer review and validation in the CRM Platform before production promotion.</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Stakeholders include the Systems Engineer, service owner, and compliance lead for approvals.</w:t>
      </w:r>
    </w:p>
    <w:p>
      <w:pPr>
        <w:pStyle w:val="ListBullet"/>
      </w:pPr>
      <w:r>
        <w:t>The Finance organization uses AWS to enforce consistent service baselines.</w:t>
      </w:r>
    </w:p>
    <w:p>
      <w:pPr>
        <w:pStyle w:val="Heading1"/>
      </w:pPr>
      <w:r>
        <w:t>Budget Controls</w:t>
      </w:r>
    </w:p>
    <w:p>
      <w:r>
        <w:t>The process integrates with CRM Platform and depends on AWS for telemetry signals. The Finance team coordinates with Systems Engineer to maintain operational readiness.</w:t>
      </w:r>
    </w:p>
    <w:p>
      <w:r>
        <w:t>The Finance team coordinates with Systems Engineer to maintain operational readiness. Evidence artifacts are retained in Salesforce for at least 24 months. The Finance team coordinates with Systems Engineer to maintain operational readiness.</w:t>
      </w:r>
    </w:p>
    <w:p>
      <w:pPr>
        <w:pStyle w:val="ListBullet"/>
      </w:pPr>
      <w:r>
        <w:t>All incidents are tagged with severity and mapped to service tiers.</w:t>
      </w:r>
    </w:p>
    <w:p>
      <w:pPr>
        <w:pStyle w:val="ListBullet"/>
      </w:pPr>
      <w:r>
        <w:t>Systems are monitored via AWS and alert routing in Salesforce.</w:t>
      </w:r>
    </w:p>
    <w:p>
      <w:pPr>
        <w:pStyle w:val="ListBullet"/>
      </w:pPr>
      <w:r>
        <w:t>The process integrates with CRM Platform and depends on AWS for telemetry signals.</w:t>
      </w:r>
    </w:p>
    <w:p>
      <w:pPr>
        <w:pStyle w:val="ListBullet"/>
      </w:pPr>
      <w:r>
        <w:t>Teams must log requests in Salesforce and track outcomes in CRM Platform for audit readiness.</w:t>
      </w:r>
    </w:p>
    <w:p>
      <w:pPr>
        <w:pStyle w:val="Heading1"/>
      </w:pPr>
      <w:r>
        <w:t>Reporting</w:t>
      </w:r>
    </w:p>
    <w:p>
      <w:r>
        <w:t>Stakeholders include the Systems Engineer, service owner, and compliance lead for approvals. This document aligns with SOC 2 requirements and supports APAC data residency expectations. The Finance organization uses AWS to enforce consistent service baselines. The process integrates with CRM Platform and depends on AWS for telemetry signals.</w:t>
      </w:r>
    </w:p>
    <w:p>
      <w:r>
        <w:t>Escalations should follow the on-call rotation with a response target of 45 minutes. All changes require peer review and validation in the CRM Platform before production promotion. The Finance organization uses AWS to enforce consistent service baselines. Escalations should follow the on-call rotation with a response target of 45 minutes.</w:t>
      </w:r>
    </w:p>
    <w:p>
      <w:pPr>
        <w:pStyle w:val="ListBullet"/>
      </w:pPr>
      <w:r>
        <w:t>Teams must log requests in Salesforce and track outcomes in CRM Platform for audit readiness.</w:t>
      </w:r>
    </w:p>
    <w:p>
      <w:pPr>
        <w:pStyle w:val="ListBullet"/>
      </w:pPr>
      <w:r>
        <w:t>Stakeholders include the Systems Engineer, service owner, and compliance lead for approvals.</w:t>
      </w:r>
    </w:p>
    <w:p>
      <w:pPr>
        <w:pStyle w:val="ListBullet"/>
      </w:pPr>
      <w:r>
        <w:t>All incidents are tagged with severity and mapped to service tiers.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Vendor check</w:t>
            </w:r>
          </w:p>
        </w:tc>
        <w:tc>
          <w:tcPr>
            <w:tcW w:type="dxa" w:w="2880"/>
          </w:tcPr>
          <w:p>
            <w:r>
              <w:t>Finance</w:t>
            </w:r>
          </w:p>
        </w:tc>
        <w:tc>
          <w:tcPr>
            <w:tcW w:type="dxa" w:w="2880"/>
          </w:tcPr>
          <w:p>
            <w:r>
              <w:t>Planned</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Access review</w:t>
            </w:r>
          </w:p>
        </w:tc>
        <w:tc>
          <w:tcPr>
            <w:tcW w:type="dxa" w:w="2880"/>
          </w:tcPr>
          <w:p>
            <w:r>
              <w:t>Operations</w:t>
            </w:r>
          </w:p>
        </w:tc>
        <w:tc>
          <w:tcPr>
            <w:tcW w:type="dxa" w:w="2880"/>
          </w:tcPr>
          <w:p>
            <w:r>
              <w:t>Complete</w:t>
            </w:r>
          </w:p>
        </w:tc>
      </w:tr>
    </w:tbl>
    <w:p>
      <w:pPr>
        <w:pStyle w:val="Heading1"/>
      </w:pPr>
      <w:r>
        <w:t>Audit Trail</w:t>
      </w:r>
    </w:p>
    <w:p>
      <w:r>
        <w:t>This document aligns with SOC 2 requirements and supports APAC data residency expectations. Stakeholders include the Systems Engineer, service owner, and compliance lead for approvals. Stakeholders include the Systems Engineer, service owner, and compliance lead for approvals. The Finance team coordinates with Systems Engineer to maintain operational readiness.</w:t>
      </w:r>
    </w:p>
    <w:p>
      <w:pPr>
        <w:pStyle w:val="ListBullet"/>
      </w:pPr>
      <w:r>
        <w:t>Risk acceptance must be documented and revalidated each quarter.</w:t>
      </w:r>
    </w:p>
    <w:p>
      <w:pPr>
        <w:pStyle w:val="ListBullet"/>
      </w:pPr>
      <w:r>
        <w:t>Systems are monitored via AWS and alert routing in Salesforce.</w:t>
      </w:r>
    </w:p>
    <w:p>
      <w:pPr>
        <w:pStyle w:val="ListBullet"/>
      </w:pPr>
      <w:r>
        <w:t>This document aligns with SOC 2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