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Finance Policies - Finance US v2.1</w:t>
      </w:r>
    </w:p>
    <w:p>
      <w:r>
        <w:t>Department: Finance</w:t>
      </w:r>
    </w:p>
    <w:p>
      <w:r>
        <w:t>Author: Avery Lee</w:t>
      </w:r>
    </w:p>
    <w:p>
      <w:r>
        <w:t>Created date: 2025-12-30</w:t>
      </w:r>
    </w:p>
    <w:p>
      <w:r>
        <w:t>Region: US</w:t>
      </w:r>
    </w:p>
    <w:p>
      <w:r>
        <w:t>Version: 2.1</w:t>
      </w:r>
    </w:p>
    <w:p>
      <w:r>
        <w:t>This internal document is intended for authorized employees and outlines standard guidance for enterprise operations.</w:t>
      </w:r>
    </w:p>
    <w:p>
      <w:r>
        <w:t>Where possible, teams should reuse existing patterns, templates, and approved tooling to reduce operational risk.</w:t>
      </w:r>
    </w:p>
    <w:p>
      <w:r>
        <w:t>Any deviation from the described process must be approved through the documented exception workflow.</w:t>
      </w:r>
    </w:p>
    <w:p>
      <w:pPr>
        <w:pStyle w:val="Heading1"/>
      </w:pPr>
      <w:r>
        <w:t>Policy Statement</w:t>
      </w:r>
    </w:p>
    <w:p>
      <w:r>
        <w:t>Audit sampling occurs monthly and is summarized in leadership dashboards. Regional teams in US follow the same policy with localized legal review. All changes require peer review and validation in the Identity Access Gateway before production promotion.</w:t>
      </w:r>
    </w:p>
    <w:p>
      <w:r>
        <w:t>The process integrates with Identity Access Gateway and depends on Prometheus for telemetry signals. Escalations should follow the on-call rotation with a response target of 45 minutes.</w:t>
      </w:r>
    </w:p>
    <w:p>
      <w:pPr>
        <w:pStyle w:val="ListBullet"/>
      </w:pPr>
      <w:r>
        <w:t>All changes require peer review and validation in the Identity Access Gateway before production promotion.</w:t>
      </w:r>
    </w:p>
    <w:p>
      <w:pPr>
        <w:pStyle w:val="ListBullet"/>
      </w:pPr>
      <w:r>
        <w:t>Stakeholders include the Support Specialist, service owner, and compliance lead for approvals.</w:t>
      </w:r>
    </w:p>
    <w:p>
      <w:pPr>
        <w:pStyle w:val="ListBullet"/>
      </w:pPr>
      <w:r>
        <w:t>Teams must log requests in Workday and track outcomes in Identity Access Gateway for audit readiness.</w:t>
      </w:r>
    </w:p>
    <w:p>
      <w:pPr>
        <w:pStyle w:val="ListBullet"/>
      </w:pPr>
      <w:r>
        <w:t>The Finance team coordinates with Support Specialist to maintain operational readiness.</w:t>
      </w:r>
    </w:p>
    <w:p>
      <w:pPr>
        <w:pStyle w:val="Heading1"/>
      </w:pPr>
      <w:r>
        <w:t>Approval Workflow</w:t>
      </w:r>
    </w:p>
    <w:p>
      <w:r>
        <w:t>Audit sampling occurs monthly and is summarized in leadership dashboards. We prioritize customer impact, data integrity, and regulatory alignment. This document aligns with SOC 2 requirements and supports US data residency expectations. We prioritize customer impact, data integrity, and regulatory alignment.</w:t>
      </w:r>
    </w:p>
    <w:p>
      <w:r>
        <w:t>Evidence artifacts are retained in Workday for at least 36 months. The Finance team coordinates with Support Specialist to maintain operational readiness. The Finance team coordinates with Support Specialist to maintain operational readiness. The process integrates with Identity Access Gateway and depends on Prometheus for telemetry signals.</w:t>
      </w:r>
    </w:p>
    <w:p>
      <w:pPr>
        <w:pStyle w:val="ListBullet"/>
      </w:pPr>
      <w:r>
        <w:t>The Finance organization uses Prometheus to enforce consistent service baselines.</w:t>
      </w:r>
    </w:p>
    <w:p>
      <w:pPr>
        <w:pStyle w:val="ListBullet"/>
      </w:pPr>
      <w:r>
        <w:t>The Finance team coordinates with Support Specialist to maintain operational readiness.</w:t>
      </w:r>
    </w:p>
    <w:p>
      <w:pPr>
        <w:pStyle w:val="ListBullet"/>
      </w:pPr>
      <w:r>
        <w:t>Teams must log requests in Workday and track outcomes in Identity Access Gateway for audit readiness.</w:t>
      </w:r>
    </w:p>
    <w:p>
      <w:pPr>
        <w:pStyle w:val="ListBullet"/>
      </w:pPr>
      <w:r>
        <w:t>Escalations should follow the on-call rotation with a response target of 45 minutes.</w:t>
      </w:r>
    </w:p>
    <w:p>
      <w:pPr>
        <w:pStyle w:val="ListBullet"/>
      </w:pPr>
      <w:r>
        <w:t>This document aligns with SOC 2 requirements and supports US data residency expectations.</w:t>
      </w:r>
    </w:p>
    <w:p>
      <w:pPr>
        <w:pStyle w:val="ListBullet"/>
      </w:pPr>
      <w:r>
        <w:t>Systems are monitored via Prometheus and alert routing in Workday.</w:t>
      </w:r>
    </w:p>
    <w:p>
      <w:pPr>
        <w:pStyle w:val="Heading1"/>
      </w:pPr>
      <w:r>
        <w:t>Budget Controls</w:t>
      </w:r>
    </w:p>
    <w:p>
      <w:r>
        <w:t>Evidence artifacts are retained in Workday for at least 36 months. Systems are monitored via Prometheus and alert routing in Workday. Regional teams in US follow the same policy with localized legal review. The process integrates with Identity Access Gateway and depends on Prometheus for telemetry signals.</w:t>
      </w:r>
    </w:p>
    <w:p>
      <w:pPr>
        <w:pStyle w:val="ListBullet"/>
      </w:pPr>
      <w:r>
        <w:t>This document aligns with SOC 2 requirements and supports US data residency expectations.</w:t>
      </w:r>
    </w:p>
    <w:p>
      <w:pPr>
        <w:pStyle w:val="ListBullet"/>
      </w:pPr>
      <w:r>
        <w:t>All changes require peer review and validation in the Identity Access Gateway before production promotion.</w:t>
      </w:r>
    </w:p>
    <w:p>
      <w:pPr>
        <w:pStyle w:val="ListBullet"/>
      </w:pPr>
      <w:r>
        <w:t>Evidence artifacts are retained in Workday for at least 36 months.</w:t>
      </w:r>
    </w:p>
    <w:p>
      <w:pPr>
        <w:pStyle w:val="ListBullet"/>
      </w:pPr>
      <w:r>
        <w:t>Audit sampling occurs monthly and is summarized in leadership dashboards.</w:t>
      </w:r>
    </w:p>
    <w:p>
      <w:pPr>
        <w:pStyle w:val="ListBullet"/>
      </w:pPr>
      <w:r>
        <w:t>Escalations should follow the on-call rotation with a response target of 45 minutes.</w:t>
      </w:r>
    </w:p>
    <w:p>
      <w:pPr>
        <w:pStyle w:val="Heading1"/>
      </w:pPr>
      <w:r>
        <w:t>Reporting</w:t>
      </w:r>
    </w:p>
    <w:p>
      <w:r>
        <w:t>The Finance team coordinates with Support Specialist to maintain operational readiness. Stakeholders include the Support Specialist, service owner, and compliance lead for approvals.</w:t>
      </w:r>
    </w:p>
    <w:p>
      <w:r>
        <w:t>Evidence artifacts are retained in Workday for at least 36 months. All incidents are tagged with severity and mapped to service tiers. Evidence artifacts are retained in Workday for at least 36 months.</w:t>
      </w:r>
    </w:p>
    <w:p>
      <w:pPr>
        <w:pStyle w:val="ListBullet"/>
      </w:pPr>
      <w:r>
        <w:t>Stakeholders include the Support Specialist, service owner, and compliance lead for approvals.</w:t>
      </w:r>
    </w:p>
    <w:p>
      <w:pPr>
        <w:pStyle w:val="ListBullet"/>
      </w:pPr>
      <w:r>
        <w:t>Regional teams in US follow the same policy with localized legal review.</w:t>
      </w:r>
    </w:p>
    <w:p>
      <w:pPr>
        <w:pStyle w:val="ListBullet"/>
      </w:pPr>
      <w:r>
        <w:t>All changes require peer review and validation in the Identity Access Gateway before production promotion.</w:t>
      </w:r>
    </w:p>
    <w:p>
      <w:pPr>
        <w:pStyle w:val="ListBullet"/>
      </w:pPr>
      <w:r>
        <w:t>Systems are monitored via Prometheus and alert routing in Workday.</w:t>
      </w:r>
    </w:p>
    <w:p>
      <w:pPr>
        <w:pStyle w:val="ListBullet"/>
      </w:pPr>
      <w:r>
        <w:t>Systems are monitored via Prometheus and alert routing in Workday.</w:t>
      </w:r>
    </w:p>
    <w:p>
      <w:pPr>
        <w:pStyle w:val="ListBullet"/>
      </w:pPr>
      <w:r>
        <w:t>The Finance team coordinates with Support Specialist to maintain operational readiness.</w:t>
      </w:r>
    </w:p>
    <w:p>
      <w:pPr>
        <w:pStyle w:val="Heading1"/>
      </w:pPr>
      <w:r>
        <w:t>Audit Trail</w:t>
      </w:r>
    </w:p>
    <w:p>
      <w:r>
        <w:t>Risk acceptance must be documented and revalidated each quarter. Audit sampling occurs monthly and is summarized in leadership dashboards. We prioritize customer impact, data integrity, and regulatory alignment.</w:t>
      </w:r>
    </w:p>
    <w:p>
      <w:pPr>
        <w:pStyle w:val="ListBullet"/>
      </w:pPr>
      <w:r>
        <w:t>The Finance organization uses Prometheus to enforce consistent service baselines.</w:t>
      </w:r>
    </w:p>
    <w:p>
      <w:pPr>
        <w:pStyle w:val="ListBullet"/>
      </w:pPr>
      <w:r>
        <w:t>Escalations should follow the on-call rotation with a response target of 45 minutes.</w:t>
      </w:r>
    </w:p>
    <w:p>
      <w:pPr>
        <w:pStyle w:val="ListBullet"/>
      </w:pPr>
      <w:r>
        <w:t>Risk acceptance must be documented and revalidated each quarter.</w:t>
      </w:r>
    </w:p>
    <w:p>
      <w:pPr>
        <w:pStyle w:val="ListBullet"/>
      </w:pPr>
      <w:r>
        <w:t>Evidence artifacts are retained in Workday for at least 36 months.</w:t>
      </w:r>
    </w:p>
    <w:p>
      <w:pPr>
        <w:pStyle w:val="ListBullet"/>
      </w:pPr>
      <w:r>
        <w:t>We prioritize customer impact, data integrity, and regulatory alignment.</w:t>
      </w:r>
    </w:p>
    <w:p>
      <w:pPr>
        <w:pStyle w:val="ListBullet"/>
      </w:pPr>
      <w:r>
        <w:t>The process integrates with Identity Access Gateway and depends on Prometheus for telemetry signals.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