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Human Resources EU v3.0</w:t>
      </w:r>
    </w:p>
    <w:p>
      <w:r>
        <w:t>Department: Human Resources</w:t>
      </w:r>
    </w:p>
    <w:p>
      <w:r>
        <w:t>Author: Morgan Nguyen</w:t>
      </w:r>
    </w:p>
    <w:p>
      <w:r>
        <w:t>Created date: 2024-08-25</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Audit sampling occurs monthly and is summarized in leadership dashboards. We prioritize customer impact, data integrity, and regulatory alignment. Audit sampling occurs monthly and is summarized in leadership dashboards.</w:t>
      </w:r>
    </w:p>
    <w:p>
      <w:r>
        <w:t>All changes require peer review and validation in the Payment Processing Service before production promotion. This document aligns with ISO 27001 requirements and supports EU data residency expectations. This document aligns with ISO 27001 requirements and supports EU data residency expectations. Audit sampling occurs monthly and is summarized in leadership dashboards.</w:t>
      </w:r>
    </w:p>
    <w:p>
      <w:pPr>
        <w:pStyle w:val="ListBullet"/>
      </w:pPr>
      <w:r>
        <w:t>Escalations should follow the on-call rotation with a response target of 45 minutes.</w:t>
      </w:r>
    </w:p>
    <w:p>
      <w:pPr>
        <w:pStyle w:val="ListBullet"/>
      </w:pPr>
      <w:r>
        <w:t>Teams must log requests in Google Workspace and track outcomes in Payment Processing Service for audit readiness.</w:t>
      </w:r>
    </w:p>
    <w:p>
      <w:pPr>
        <w:pStyle w:val="ListBullet"/>
      </w:pPr>
      <w:r>
        <w:t>Teams must log requests in Google Workspace and track outcomes in Payment Processing Service for audit readiness.</w:t>
      </w:r>
    </w:p>
    <w:p>
      <w:pPr>
        <w:pStyle w:val="ListBullet"/>
      </w:pPr>
      <w:r>
        <w:t>This document aligns with ISO 27001 requirements and supports EU data residency expectations.</w:t>
      </w:r>
    </w:p>
    <w:p>
      <w:pPr>
        <w:pStyle w:val="ListBullet"/>
      </w:pPr>
      <w:r>
        <w:t>Regional teams in EU follow the same policy with localized legal review.</w:t>
      </w:r>
    </w:p>
    <w:p>
      <w:pPr>
        <w:pStyle w:val="ListBullet"/>
      </w:pPr>
      <w:r>
        <w:t>Evidence artifacts are retained in Google Workspace for at least 24 months.</w:t>
      </w:r>
    </w:p>
    <w:p>
      <w:pPr>
        <w:pStyle w:val="Heading1"/>
      </w:pPr>
      <w:r>
        <w:t>Approval Workflow</w:t>
      </w:r>
    </w:p>
    <w:p>
      <w:r>
        <w:t>Regional teams in EU follow the same policy with localized legal review. Regional teams in EU follow the same policy with localized legal review. The Human Resources team coordinates with Platform Engineer to maintain operational readiness.</w:t>
      </w:r>
    </w:p>
    <w:p>
      <w:r>
        <w:t>All incidents are tagged with severity and mapped to service tiers. Audit sampling occurs monthly and is summarized in leadership dashboards. The Human Resources team coordinates with Platform Engineer to maintain operational readiness. Teams must log requests in Google Workspace and track outcomes in Payment Processing Service for audit readiness.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ListBullet"/>
      </w:pPr>
      <w:r>
        <w:t>Evidence artifacts are retained in Google Workspace for at least 24 months.</w:t>
      </w:r>
    </w:p>
    <w:p>
      <w:pPr>
        <w:pStyle w:val="ListBullet"/>
      </w:pPr>
      <w:r>
        <w:t>Teams must log requests in Google Workspace and track outcomes in Payment Processing Service for audit readiness.</w:t>
      </w:r>
    </w:p>
    <w:p>
      <w:pPr>
        <w:pStyle w:val="ListBullet"/>
      </w:pPr>
      <w:r>
        <w:t>This document aligns with ISO 27001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Human Resources</w:t>
            </w:r>
          </w:p>
        </w:tc>
        <w:tc>
          <w:tcPr>
            <w:tcW w:type="dxa" w:w="2880"/>
          </w:tcPr>
          <w:p>
            <w:r>
              <w:t>Complete</w:t>
            </w:r>
          </w:p>
        </w:tc>
      </w:tr>
      <w:tr>
        <w:tc>
          <w:tcPr>
            <w:tcW w:type="dxa" w:w="2880"/>
          </w:tcPr>
          <w:p>
            <w:r>
              <w:t>Vendor check</w:t>
            </w:r>
          </w:p>
        </w:tc>
        <w:tc>
          <w:tcPr>
            <w:tcW w:type="dxa" w:w="2880"/>
          </w:tcPr>
          <w:p>
            <w:r>
              <w:t>Human Resources</w:t>
            </w:r>
          </w:p>
        </w:tc>
        <w:tc>
          <w:tcPr>
            <w:tcW w:type="dxa" w:w="2880"/>
          </w:tcPr>
          <w:p>
            <w:r>
              <w:t>Blocked</w:t>
            </w:r>
          </w:p>
        </w:tc>
      </w:tr>
    </w:tbl>
    <w:p>
      <w:pPr>
        <w:pStyle w:val="Heading1"/>
      </w:pPr>
      <w:r>
        <w:t>Budget Controls</w:t>
      </w:r>
    </w:p>
    <w:p>
      <w:r>
        <w:t>Escalations should follow the on-call rotation with a response target of 45 minutes. Teams must log requests in Google Workspace and track outcomes in Payment Processing Service for audit readiness.</w:t>
      </w:r>
    </w:p>
    <w:p>
      <w:r>
        <w:t>Audit sampling occurs monthly and is summarized in leadership dashboards. Audit sampling occurs monthly and is summarized in leadership dashboards. We prioritize customer impact, data integrity, and regulatory alignment. The Human Resources team coordinates with Platform Engineer to maintain operational readiness.</w:t>
      </w:r>
    </w:p>
    <w:p>
      <w:pPr>
        <w:pStyle w:val="ListBullet"/>
      </w:pPr>
      <w:r>
        <w:t>The Human Resources organization uses Snowflake to enforce consistent service baselines.</w:t>
      </w:r>
    </w:p>
    <w:p>
      <w:pPr>
        <w:pStyle w:val="ListBullet"/>
      </w:pPr>
      <w:r>
        <w:t>Evidence artifacts are retained in Google Workspace for at least 24 months.</w:t>
      </w:r>
    </w:p>
    <w:p>
      <w:pPr>
        <w:pStyle w:val="ListBullet"/>
      </w:pPr>
      <w:r>
        <w:t>Risk acceptance must be documented and revalidated each quarter.</w:t>
      </w:r>
    </w:p>
    <w:p>
      <w:pPr>
        <w:pStyle w:val="ListBullet"/>
      </w:pPr>
      <w:r>
        <w:t>Regional teams in EU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Backup validation</w:t>
            </w:r>
          </w:p>
        </w:tc>
        <w:tc>
          <w:tcPr>
            <w:tcW w:type="dxa" w:w="2880"/>
          </w:tcPr>
          <w:p>
            <w:r>
              <w:t>Operations</w:t>
            </w:r>
          </w:p>
        </w:tc>
        <w:tc>
          <w:tcPr>
            <w:tcW w:type="dxa" w:w="2880"/>
          </w:tcPr>
          <w:p>
            <w:r>
              <w:t>Complete</w:t>
            </w:r>
          </w:p>
        </w:tc>
      </w:tr>
      <w:tr>
        <w:tc>
          <w:tcPr>
            <w:tcW w:type="dxa" w:w="2880"/>
          </w:tcPr>
          <w:p>
            <w:r>
              <w:t>Patch window</w:t>
            </w:r>
          </w:p>
        </w:tc>
        <w:tc>
          <w:tcPr>
            <w:tcW w:type="dxa" w:w="2880"/>
          </w:tcPr>
          <w:p>
            <w:r>
              <w:t>Human Resources</w:t>
            </w:r>
          </w:p>
        </w:tc>
        <w:tc>
          <w:tcPr>
            <w:tcW w:type="dxa" w:w="2880"/>
          </w:tcPr>
          <w:p>
            <w:r>
              <w:t>Complete</w:t>
            </w:r>
          </w:p>
        </w:tc>
      </w:tr>
      <w:tr>
        <w:tc>
          <w:tcPr>
            <w:tcW w:type="dxa" w:w="2880"/>
          </w:tcPr>
          <w:p>
            <w:r>
              <w:t>Patch window</w:t>
            </w:r>
          </w:p>
        </w:tc>
        <w:tc>
          <w:tcPr>
            <w:tcW w:type="dxa" w:w="2880"/>
          </w:tcPr>
          <w:p>
            <w:r>
              <w:t>Security</w:t>
            </w:r>
          </w:p>
        </w:tc>
        <w:tc>
          <w:tcPr>
            <w:tcW w:type="dxa" w:w="2880"/>
          </w:tcPr>
          <w:p>
            <w:r>
              <w:t>In Progress</w:t>
            </w:r>
          </w:p>
        </w:tc>
      </w:tr>
      <w:tr>
        <w:tc>
          <w:tcPr>
            <w:tcW w:type="dxa" w:w="2880"/>
          </w:tcPr>
          <w:p>
            <w:r>
              <w:t>Patch window</w:t>
            </w:r>
          </w:p>
        </w:tc>
        <w:tc>
          <w:tcPr>
            <w:tcW w:type="dxa" w:w="2880"/>
          </w:tcPr>
          <w:p>
            <w:r>
              <w:t>Human Resources</w:t>
            </w:r>
          </w:p>
        </w:tc>
        <w:tc>
          <w:tcPr>
            <w:tcW w:type="dxa" w:w="2880"/>
          </w:tcPr>
          <w:p>
            <w:r>
              <w:t>Planned</w:t>
            </w:r>
          </w:p>
        </w:tc>
      </w:tr>
    </w:tbl>
    <w:p>
      <w:pPr>
        <w:pStyle w:val="Heading1"/>
      </w:pPr>
      <w:r>
        <w:t>Reporting</w:t>
      </w:r>
    </w:p>
    <w:p>
      <w:r>
        <w:t>This document aligns with ISO 27001 requirements and supports EU data residency expectations. All incidents are tagged with severity and mapped to service tiers. The Human Resources team coordinates with Platform Engineer to maintain operational readiness.</w:t>
      </w:r>
    </w:p>
    <w:p>
      <w:pPr>
        <w:pStyle w:val="ListBullet"/>
      </w:pPr>
      <w:r>
        <w:t>The Human Resources organization uses Snowflake to enforce consistent service baselines.</w:t>
      </w:r>
    </w:p>
    <w:p>
      <w:pPr>
        <w:pStyle w:val="ListBullet"/>
      </w:pPr>
      <w:r>
        <w:t>Stakeholders include the Platform Engineer, service owner, and compliance lead for approvals.</w:t>
      </w:r>
    </w:p>
    <w:p>
      <w:pPr>
        <w:pStyle w:val="ListBullet"/>
      </w:pPr>
      <w:r>
        <w:t>The Human Resources organization uses Snowflake to enforce consistent service baselines.</w:t>
      </w:r>
    </w:p>
    <w:p>
      <w:pPr>
        <w:pStyle w:val="Heading1"/>
      </w:pPr>
      <w:r>
        <w:t>Audit Trail</w:t>
      </w:r>
    </w:p>
    <w:p>
      <w:r>
        <w:t>All incidents are tagged with severity and mapped to service tiers. Audit sampling occurs monthly and is summarized in leadership dashboards. Teams must log requests in Google Workspace and track outcomes in Payment Processing Service for audit readiness. Audit sampling occurs monthly and is summarized in leadership dashboards.</w:t>
      </w:r>
    </w:p>
    <w:p>
      <w:r>
        <w:t>We prioritize customer impact, data integrity, and regulatory alignment. Evidence artifacts are retained in Google Workspace for at least 24 months.</w:t>
      </w:r>
    </w:p>
    <w:p>
      <w:pPr>
        <w:pStyle w:val="ListBullet"/>
      </w:pPr>
      <w:r>
        <w:t>Risk acceptance must be documented and revalidated each quarter.</w:t>
      </w:r>
    </w:p>
    <w:p>
      <w:pPr>
        <w:pStyle w:val="ListBullet"/>
      </w:pPr>
      <w:r>
        <w:t>Stakeholders include the Platform Engineer, service owner, and compliance lead for approvals.</w:t>
      </w:r>
    </w:p>
    <w:p>
      <w:pPr>
        <w:pStyle w:val="ListBullet"/>
      </w:pPr>
      <w:r>
        <w:t>Escalations should follow the on-call rotation with a response target of 45 minutes.</w:t>
      </w:r>
    </w:p>
    <w:p>
      <w:pPr>
        <w:pStyle w:val="ListBullet"/>
      </w:pPr>
      <w:r>
        <w:t>Evidence artifacts are retained in Google Workspace for at least 24 months.</w:t>
      </w:r>
    </w:p>
    <w:p>
      <w:pPr>
        <w:pStyle w:val="ListBullet"/>
      </w:pPr>
      <w:r>
        <w:t>The process integrates with Payment Processing Service and depends on Snowflake for telemetry signals.</w:t>
      </w:r>
    </w:p>
    <w:p>
      <w:pPr>
        <w:pStyle w:val="ListBullet"/>
      </w:pPr>
      <w:r>
        <w:t>The process integrates with Payment Processing Service and depends on Snowflake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