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Information Technology APAC v1.1</w:t>
      </w:r>
    </w:p>
    <w:p>
      <w:r>
        <w:t>Department: Information Technology</w:t>
      </w:r>
    </w:p>
    <w:p>
      <w:r>
        <w:t>Author: Casey Nguyen</w:t>
      </w:r>
    </w:p>
    <w:p>
      <w:r>
        <w:t>Created date: 2025-05-09</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Information Technology organization uses Azure AD to enforce consistent service baselines. We prioritize customer impact, data integrity, and regulatory alignment.</w:t>
      </w:r>
    </w:p>
    <w:p>
      <w:r>
        <w:t>All changes require peer review and validation in the Identity Access Gateway before production promotion. We prioritize customer impact, data integrity, and regulatory alignment.</w:t>
      </w:r>
    </w:p>
    <w:p>
      <w:pPr>
        <w:pStyle w:val="ListBullet"/>
      </w:pPr>
      <w:r>
        <w:t>All incidents are tagged with severity and mapped to service tiers.</w:t>
      </w:r>
    </w:p>
    <w:p>
      <w:pPr>
        <w:pStyle w:val="ListBullet"/>
      </w:pPr>
      <w:r>
        <w:t>All changes require peer review and validation in the Identity Access Gateway before production promotion.</w:t>
      </w:r>
    </w:p>
    <w:p>
      <w:pPr>
        <w:pStyle w:val="ListBullet"/>
      </w:pPr>
      <w:r>
        <w:t>Escalations should follow the on-call rotation with a response target of 45 minutes.</w:t>
      </w:r>
    </w:p>
    <w:p>
      <w:pPr>
        <w:pStyle w:val="ListBullet"/>
      </w:pPr>
      <w:r>
        <w:t>The process integrates with Identity Access Gateway and depends on Azure AD for telemetry signals.</w:t>
      </w:r>
    </w:p>
    <w:p>
      <w:pPr>
        <w:pStyle w:val="ListBullet"/>
      </w:pPr>
      <w:r>
        <w:t>The process integrates with Identity Access Gateway and depends on Azure AD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Finance Analyst</w:t>
            </w:r>
          </w:p>
        </w:tc>
        <w:tc>
          <w:tcPr>
            <w:tcW w:type="dxa" w:w="2880"/>
          </w:tcPr>
          <w:p>
            <w:r>
              <w:t>Planned</w:t>
            </w:r>
          </w:p>
        </w:tc>
      </w:tr>
      <w:tr>
        <w:tc>
          <w:tcPr>
            <w:tcW w:type="dxa" w:w="2880"/>
          </w:tcPr>
          <w:p>
            <w:r>
              <w:t>Vendor check</w:t>
            </w:r>
          </w:p>
        </w:tc>
        <w:tc>
          <w:tcPr>
            <w:tcW w:type="dxa" w:w="2880"/>
          </w:tcPr>
          <w:p>
            <w:r>
              <w:t>Security</w:t>
            </w:r>
          </w:p>
        </w:tc>
        <w:tc>
          <w:tcPr>
            <w:tcW w:type="dxa" w:w="2880"/>
          </w:tcPr>
          <w:p>
            <w:r>
              <w:t>Complete</w:t>
            </w:r>
          </w:p>
        </w:tc>
      </w:tr>
    </w:tbl>
    <w:p>
      <w:pPr>
        <w:pStyle w:val="Heading1"/>
      </w:pPr>
      <w:r>
        <w:t>Approval Workflow</w:t>
      </w:r>
    </w:p>
    <w:p>
      <w:r>
        <w:t>The process integrates with Identity Access Gateway and depends on Azure AD for telemetry signals. Teams must log requests in Confluence and track outcomes in Identity Access Gateway for audit readiness. The Information Technology organization uses Azure AD to enforce consistent service baselines.</w:t>
      </w:r>
    </w:p>
    <w:p>
      <w:r>
        <w:t>The Information Technology organization uses Azure AD to enforce consistent service baselines. Risk acceptance must be documented and revalidated each quarter. All incidents are tagged with severity and mapped to service tiers.</w:t>
      </w:r>
    </w:p>
    <w:p>
      <w:pPr>
        <w:pStyle w:val="ListBullet"/>
      </w:pPr>
      <w:r>
        <w:t>Systems are monitored via Azure AD and alert routing in Confluence.</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The Information Technology organization uses Azure AD to enforce consistent service baselines.</w:t>
      </w:r>
    </w:p>
    <w:p>
      <w:pPr>
        <w:pStyle w:val="ListBullet"/>
      </w:pPr>
      <w:r>
        <w:t>Teams must log requests in Confluence and track outcomes in Identity Access Gateway for audit readiness.</w:t>
      </w:r>
    </w:p>
    <w:p>
      <w:pPr>
        <w:pStyle w:val="Heading1"/>
      </w:pPr>
      <w:r>
        <w:t>Budget Controls</w:t>
      </w:r>
    </w:p>
    <w:p>
      <w:r>
        <w:t>This document aligns with ISO 27001 requirements and supports APAC data residency expectations. Stakeholders include the Finance Analyst, service owner, and compliance lead for approvals. Audit sampling occurs monthly and is summarized in leadership dashboards. The Information Technology team coordinates with Finance Analyst to maintain operational readiness.</w:t>
      </w:r>
    </w:p>
    <w:p>
      <w:pPr>
        <w:pStyle w:val="ListBullet"/>
      </w:pPr>
      <w:r>
        <w:t>Regional teams in APAC follow the same policy with localized legal review.</w:t>
      </w:r>
    </w:p>
    <w:p>
      <w:pPr>
        <w:pStyle w:val="ListBullet"/>
      </w:pPr>
      <w:r>
        <w:t>Escalations should follow the on-call rotation with a response target of 45 minutes.</w:t>
      </w:r>
    </w:p>
    <w:p>
      <w:pPr>
        <w:pStyle w:val="ListBullet"/>
      </w:pPr>
      <w:r>
        <w:t>Evidence artifacts are retained in Confluence for at least 24 months.</w:t>
      </w:r>
    </w:p>
    <w:p>
      <w:pPr>
        <w:pStyle w:val="ListBullet"/>
      </w:pPr>
      <w:r>
        <w:t>This document aligns with ISO 27001 requirements and supports APAC data residency expectations.</w:t>
      </w:r>
    </w:p>
    <w:p>
      <w:pPr>
        <w:pStyle w:val="ListBullet"/>
      </w:pPr>
      <w:r>
        <w:t>Teams must log requests in Confluence and track outcomes in Identity Access Gateway for audit readiness.</w:t>
      </w:r>
    </w:p>
    <w:p>
      <w:pPr>
        <w:pStyle w:val="ListBullet"/>
      </w:pPr>
      <w:r>
        <w:t>We prioritize customer impact, data integrity, and regulatory alignment.</w:t>
      </w:r>
    </w:p>
    <w:p>
      <w:pPr>
        <w:pStyle w:val="Heading1"/>
      </w:pPr>
      <w:r>
        <w:t>Reporting</w:t>
      </w:r>
    </w:p>
    <w:p>
      <w:r>
        <w:t>Stakeholders include the Finance Analyst, service owner, and compliance lead for approvals. Audit sampling occurs monthly and is summarized in leadership dashboards. Risk acceptance must be documented and revalidated each quarter. Risk acceptance must be documented and revalidated each quarter.</w:t>
      </w:r>
    </w:p>
    <w:p>
      <w:r>
        <w:t>All incidents are tagged with severity and mapped to service tiers. We prioritize customer impact, data integrity, and regulatory alignment. Systems are monitored via Azure AD and alert routing in Confluence.</w:t>
      </w:r>
    </w:p>
    <w:p>
      <w:pPr>
        <w:pStyle w:val="ListBullet"/>
      </w:pPr>
      <w:r>
        <w:t>Risk acceptance must be documented and revalidated each quarter.</w:t>
      </w:r>
    </w:p>
    <w:p>
      <w:pPr>
        <w:pStyle w:val="ListBullet"/>
      </w:pPr>
      <w:r>
        <w:t>Stakeholders include the Finance Analyst, service owner, and compliance lead for approvals.</w:t>
      </w:r>
    </w:p>
    <w:p>
      <w:pPr>
        <w:pStyle w:val="ListBullet"/>
      </w:pPr>
      <w:r>
        <w:t>The process integrates with Identity Access Gateway and depends on Azure AD for telemetry signals.</w:t>
      </w:r>
    </w:p>
    <w:p>
      <w:pPr>
        <w:pStyle w:val="ListBullet"/>
      </w:pPr>
      <w:r>
        <w:t>This document aligns with ISO 27001 requirements and supports APAC data residency expectations.</w:t>
      </w:r>
    </w:p>
    <w:p>
      <w:pPr>
        <w:pStyle w:val="ListBullet"/>
      </w:pPr>
      <w:r>
        <w:t>Teams must log requests in Confluence and track outcomes in Identity Access Gateway for audit readiness.</w:t>
      </w:r>
    </w:p>
    <w:p>
      <w:pPr>
        <w:pStyle w:val="ListBullet"/>
      </w:pPr>
      <w:r>
        <w:t>Regional teams in APAC follow the same policy with localized legal review.</w:t>
      </w:r>
    </w:p>
    <w:p>
      <w:pPr>
        <w:pStyle w:val="Heading1"/>
      </w:pPr>
      <w:r>
        <w:t>Audit Trail</w:t>
      </w:r>
    </w:p>
    <w:p>
      <w:r>
        <w:t>Systems are monitored via Azure AD and alert routing in Confluence. The Information Technology team coordinates with Finance Analyst to maintain operational readiness. The process integrates with Identity Access Gateway and depends on Azure AD for telemetry signals.</w:t>
      </w:r>
    </w:p>
    <w:p>
      <w:r>
        <w:t>This document aligns with ISO 27001 requirements and supports APAC data residency expectations. All incidents are tagged with severity and mapped to service tiers. Regional teams in APAC follow the same policy with localized legal review.</w:t>
      </w:r>
    </w:p>
    <w:p>
      <w:pPr>
        <w:pStyle w:val="ListBullet"/>
      </w:pPr>
      <w:r>
        <w:t>All incidents are tagged with severity and mapped to service tiers.</w:t>
      </w:r>
    </w:p>
    <w:p>
      <w:pPr>
        <w:pStyle w:val="ListBullet"/>
      </w:pPr>
      <w:r>
        <w:t>This document aligns with ISO 27001 requirements and supports APAC data residency expectations.</w:t>
      </w:r>
    </w:p>
    <w:p>
      <w:pPr>
        <w:pStyle w:val="ListBullet"/>
      </w:pPr>
      <w:r>
        <w:t>Risk acceptance must be documented and revalidated each quarter.</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Access review</w:t>
            </w:r>
          </w:p>
        </w:tc>
        <w:tc>
          <w:tcPr>
            <w:tcW w:type="dxa" w:w="2880"/>
          </w:tcPr>
          <w:p>
            <w:r>
              <w:t>Finance Analyst</w:t>
            </w:r>
          </w:p>
        </w:tc>
        <w:tc>
          <w:tcPr>
            <w:tcW w:type="dxa" w:w="2880"/>
          </w:tcPr>
          <w:p>
            <w:r>
              <w:t>Planned</w:t>
            </w:r>
          </w:p>
        </w:tc>
      </w:tr>
      <w:tr>
        <w:tc>
          <w:tcPr>
            <w:tcW w:type="dxa" w:w="2880"/>
          </w:tcPr>
          <w:p>
            <w:r>
              <w:t>Backup validation</w:t>
            </w:r>
          </w:p>
        </w:tc>
        <w:tc>
          <w:tcPr>
            <w:tcW w:type="dxa" w:w="2880"/>
          </w:tcPr>
          <w:p>
            <w:r>
              <w:t>Finance Analyst</w:t>
            </w:r>
          </w:p>
        </w:tc>
        <w:tc>
          <w:tcPr>
            <w:tcW w:type="dxa" w:w="2880"/>
          </w:tcPr>
          <w:p>
            <w:r>
              <w:t>In Progress</w:t>
            </w:r>
          </w:p>
        </w:tc>
      </w:tr>
      <w:tr>
        <w:tc>
          <w:tcPr>
            <w:tcW w:type="dxa" w:w="2880"/>
          </w:tcPr>
          <w:p>
            <w:r>
              <w:t>Patch window</w:t>
            </w:r>
          </w:p>
        </w:tc>
        <w:tc>
          <w:tcPr>
            <w:tcW w:type="dxa" w:w="2880"/>
          </w:tcPr>
          <w:p>
            <w:r>
              <w:t>Information Technology</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