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Information Technology EU v3.0</w:t>
      </w:r>
    </w:p>
    <w:p>
      <w:r>
        <w:t>Department: Information Technology</w:t>
      </w:r>
    </w:p>
    <w:p>
      <w:r>
        <w:t>Author: Jordan Nguyen</w:t>
      </w:r>
    </w:p>
    <w:p>
      <w:r>
        <w:t>Created date: 2024-11-17</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The process integrates with Payment Processing Service and depends on ServiceNow for telemetry signals. The process integrates with Payment Processing Service and depends on ServiceNow for telemetry signals. We prioritize customer impact, data integrity, and regulatory alignment.</w:t>
      </w:r>
    </w:p>
    <w:p>
      <w:pPr>
        <w:pStyle w:val="ListBullet"/>
      </w:pPr>
      <w:r>
        <w:t>Systems are monitored via ServiceNow and alert routing in Workday.</w:t>
      </w:r>
    </w:p>
    <w:p>
      <w:pPr>
        <w:pStyle w:val="ListBullet"/>
      </w:pPr>
      <w:r>
        <w:t>This document aligns with PCI DSS requirements and supports EU data residency expectations.</w:t>
      </w:r>
    </w:p>
    <w:p>
      <w:pPr>
        <w:pStyle w:val="ListBullet"/>
      </w:pPr>
      <w:r>
        <w:t>Stakeholders include the SRE, service owner, and compliance lead for approvals.</w:t>
      </w:r>
    </w:p>
    <w:p>
      <w:pPr>
        <w:pStyle w:val="ListBullet"/>
      </w:pPr>
      <w:r>
        <w:t>Teams must log requests in Workday and track outcomes in Payment Processing Service for audit readiness.</w:t>
      </w:r>
    </w:p>
    <w:p>
      <w:pPr>
        <w:pStyle w:val="ListBullet"/>
      </w:pPr>
      <w:r>
        <w:t>Teams must log requests in Workday and track outcomes in Payment Processing Service for audit readiness.</w:t>
      </w:r>
    </w:p>
    <w:p>
      <w:pPr>
        <w:pStyle w:val="Heading1"/>
      </w:pPr>
      <w:r>
        <w:t>Approval Workflow</w:t>
      </w:r>
    </w:p>
    <w:p>
      <w:r>
        <w:t>Escalations should follow the on-call rotation with a response target of 30 minutes. Evidence artifacts are retained in Workday for at least 24 months. Risk acceptance must be documented and revalidated each quarter.</w:t>
      </w:r>
    </w:p>
    <w:p>
      <w:r>
        <w:t>All incidents are tagged with severity and mapped to service tiers. Stakeholders include the SRE, service owner, and compliance lead for approvals. Escalations should follow the on-call rotation with a response target of 30 minutes.</w:t>
      </w:r>
    </w:p>
    <w:p>
      <w:pPr>
        <w:pStyle w:val="ListBullet"/>
      </w:pPr>
      <w:r>
        <w:t>The Information Technology organization uses ServiceNow to enforce consistent service baselines.</w:t>
      </w:r>
    </w:p>
    <w:p>
      <w:pPr>
        <w:pStyle w:val="ListBullet"/>
      </w:pPr>
      <w:r>
        <w:t>The Information Technology organization uses ServiceNow to enforce consistent service baselines.</w:t>
      </w:r>
    </w:p>
    <w:p>
      <w:pPr>
        <w:pStyle w:val="ListBullet"/>
      </w:pPr>
      <w:r>
        <w:t>Audit sampling occurs monthly and is summarized in leadership dashboards.</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SRE</w:t>
            </w:r>
          </w:p>
        </w:tc>
        <w:tc>
          <w:tcPr>
            <w:tcW w:type="dxa" w:w="2880"/>
          </w:tcPr>
          <w:p>
            <w:r>
              <w:t>In Progress</w:t>
            </w:r>
          </w:p>
        </w:tc>
      </w:tr>
      <w:tr>
        <w:tc>
          <w:tcPr>
            <w:tcW w:type="dxa" w:w="2880"/>
          </w:tcPr>
          <w:p>
            <w:r>
              <w:t>Backup validation</w:t>
            </w:r>
          </w:p>
        </w:tc>
        <w:tc>
          <w:tcPr>
            <w:tcW w:type="dxa" w:w="2880"/>
          </w:tcPr>
          <w:p>
            <w:r>
              <w:t>SRE</w:t>
            </w:r>
          </w:p>
        </w:tc>
        <w:tc>
          <w:tcPr>
            <w:tcW w:type="dxa" w:w="2880"/>
          </w:tcPr>
          <w:p>
            <w:r>
              <w:t>Complete</w:t>
            </w:r>
          </w:p>
        </w:tc>
      </w:tr>
    </w:tbl>
    <w:p>
      <w:pPr>
        <w:pStyle w:val="Heading1"/>
      </w:pPr>
      <w:r>
        <w:t>Budget Controls</w:t>
      </w:r>
    </w:p>
    <w:p>
      <w:r>
        <w:t>The Information Technology organization uses ServiceNow to enforce consistent service baselines. Teams must log requests in Workday and track outcomes in Payment Processing Service for audit readiness.</w:t>
      </w:r>
    </w:p>
    <w:p>
      <w:r>
        <w:t>All incidents are tagged with severity and mapped to service tiers. The Information Technology team coordinates with SRE to maintain operational readiness.</w:t>
      </w:r>
    </w:p>
    <w:p>
      <w:pPr>
        <w:pStyle w:val="ListBullet"/>
      </w:pPr>
      <w:r>
        <w:t>The Information Technology team coordinates with SRE to maintain operational readiness.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ListBullet"/>
      </w:pPr>
      <w:r>
        <w:t>Evidence artifacts are retained in Workday for at least 24 months.</w:t>
      </w:r>
    </w:p>
    <w:p>
      <w:pPr>
        <w:pStyle w:val="ListBullet"/>
      </w:pPr>
      <w:r>
        <w:t>Teams must log requests in Workday and track outcomes in Payment Processing Service for audit readiness.</w:t>
      </w:r>
    </w:p>
    <w:p>
      <w:pPr>
        <w:pStyle w:val="ListBullet"/>
      </w:pPr>
      <w:r>
        <w:t>The Information Technology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SRE</w:t>
            </w:r>
          </w:p>
        </w:tc>
        <w:tc>
          <w:tcPr>
            <w:tcW w:type="dxa" w:w="2880"/>
          </w:tcPr>
          <w:p>
            <w:r>
              <w:t>Planned</w:t>
            </w:r>
          </w:p>
        </w:tc>
      </w:tr>
      <w:tr>
        <w:tc>
          <w:tcPr>
            <w:tcW w:type="dxa" w:w="2880"/>
          </w:tcPr>
          <w:p>
            <w:r>
              <w:t>Vendor check</w:t>
            </w:r>
          </w:p>
        </w:tc>
        <w:tc>
          <w:tcPr>
            <w:tcW w:type="dxa" w:w="2880"/>
          </w:tcPr>
          <w:p>
            <w:r>
              <w:t>SRE</w:t>
            </w:r>
          </w:p>
        </w:tc>
        <w:tc>
          <w:tcPr>
            <w:tcW w:type="dxa" w:w="2880"/>
          </w:tcPr>
          <w:p>
            <w:r>
              <w:t>Planned</w:t>
            </w:r>
          </w:p>
        </w:tc>
      </w:tr>
      <w:tr>
        <w:tc>
          <w:tcPr>
            <w:tcW w:type="dxa" w:w="2880"/>
          </w:tcPr>
          <w:p>
            <w:r>
              <w:t>Backup validation</w:t>
            </w:r>
          </w:p>
        </w:tc>
        <w:tc>
          <w:tcPr>
            <w:tcW w:type="dxa" w:w="2880"/>
          </w:tcPr>
          <w:p>
            <w:r>
              <w:t>Information Technology</w:t>
            </w:r>
          </w:p>
        </w:tc>
        <w:tc>
          <w:tcPr>
            <w:tcW w:type="dxa" w:w="2880"/>
          </w:tcPr>
          <w:p>
            <w:r>
              <w:t>Complete</w:t>
            </w:r>
          </w:p>
        </w:tc>
      </w:tr>
    </w:tbl>
    <w:p>
      <w:pPr>
        <w:pStyle w:val="Heading1"/>
      </w:pPr>
      <w:r>
        <w:t>Reporting</w:t>
      </w:r>
    </w:p>
    <w:p>
      <w:r>
        <w:t>All incidents are tagged with severity and mapped to service tiers. This document aligns with PCI DSS requirements and supports EU data residency expectations. Teams must log requests in Workday and track outcomes in Payment Processing Service for audit readiness. Audit sampling occurs monthly and is summarized in leadership dashboards.</w:t>
      </w:r>
    </w:p>
    <w:p>
      <w:r>
        <w:t>All incidents are tagged with severity and mapped to service tiers. Escalations should follow the on-call rotation with a response target of 30 minutes. Regional teams in EU follow the same policy with localized legal review. We prioritize customer impact, data integrity, and regulatory alignment.</w:t>
      </w:r>
    </w:p>
    <w:p>
      <w:pPr>
        <w:pStyle w:val="ListBullet"/>
      </w:pPr>
      <w:r>
        <w:t>The Information Technology organization uses ServiceNow to enforce consistent service baselines.</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The Information Technology organization uses ServiceNow to enforce consistent service baselines.</w:t>
      </w:r>
    </w:p>
    <w:p>
      <w:pPr>
        <w:pStyle w:val="Heading1"/>
      </w:pPr>
      <w:r>
        <w:t>Audit Trail</w:t>
      </w:r>
    </w:p>
    <w:p>
      <w:r>
        <w:t>Stakeholders include the SRE, service owner, and compliance lead for approvals. Stakeholders include the SRE, service owner, and compliance lead for approvals. Audit sampling occurs monthly and is summarized in leadership dashboards. The Information Technology team coordinates with SRE to maintain operational readiness.</w:t>
      </w:r>
    </w:p>
    <w:p>
      <w:pPr>
        <w:pStyle w:val="ListBullet"/>
      </w:pPr>
      <w:r>
        <w:t>Teams must log requests in Workday and track outcomes in Payment Processing Service for audit readiness.</w:t>
      </w:r>
    </w:p>
    <w:p>
      <w:pPr>
        <w:pStyle w:val="ListBullet"/>
      </w:pPr>
      <w:r>
        <w:t>This document aligns with PCI DSS requirements and supports EU data residency expectations.</w:t>
      </w:r>
    </w:p>
    <w:p>
      <w:pPr>
        <w:pStyle w:val="ListBullet"/>
      </w:pPr>
      <w:r>
        <w:t>Escalations should follow the on-call rotation with a response target of 30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