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Information Technology EU v1.0</w:t>
      </w:r>
    </w:p>
    <w:p>
      <w:r>
        <w:t>Department: Information Technology</w:t>
      </w:r>
    </w:p>
    <w:p>
      <w:r>
        <w:t>Author: Taylor Kim</w:t>
      </w:r>
    </w:p>
    <w:p>
      <w:r>
        <w:t>Created date: 2024-05-16</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This document aligns with HIPAA requirements and supports EU data residency expectations. Risk acceptance must be documented and revalidated each quarter. Risk acceptance must be documented and revalidated each quarter.</w:t>
      </w:r>
    </w:p>
    <w:p>
      <w:r>
        <w:t>Escalations should follow the on-call rotation with a response target of 15 minutes. Risk acceptance must be documented and revalidated each quarter.</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The Information Technology team coordinates with Platform Engineer to maintain operational readiness.</w:t>
      </w:r>
    </w:p>
    <w:p>
      <w:pPr>
        <w:pStyle w:val="ListBullet"/>
      </w:pPr>
      <w:r>
        <w:t>Evidence artifacts are retained in Google Workspace for at least 12 months.</w:t>
      </w:r>
    </w:p>
    <w:p>
      <w:pPr>
        <w:pStyle w:val="ListBullet"/>
      </w:pPr>
      <w:r>
        <w:t>Escalations should follow the on-call rotation with a response target of 15 minutes.</w:t>
      </w:r>
    </w:p>
    <w:p>
      <w:pPr>
        <w:pStyle w:val="Heading1"/>
      </w:pPr>
      <w:r>
        <w:t>Approval Workflow</w:t>
      </w:r>
    </w:p>
    <w:p>
      <w:r>
        <w:t>Teams must log requests in Google Workspace and track outcomes in ERP System for audit readiness. Risk acceptance must be documented and revalidated each quarter. This document aligns with HIPAA requirements and supports EU data residency expectations. This document aligns with HIPAA requirements and supports EU data residency expectations.</w:t>
      </w:r>
    </w:p>
    <w:p>
      <w:pPr>
        <w:pStyle w:val="ListBullet"/>
      </w:pPr>
      <w:r>
        <w:t>Stakeholders include the Platform Engineer, service owner, and compliance lead for approvals.</w:t>
      </w:r>
    </w:p>
    <w:p>
      <w:pPr>
        <w:pStyle w:val="ListBullet"/>
      </w:pPr>
      <w:r>
        <w:t>Risk acceptance must be documented and revalidated each quarter.</w:t>
      </w:r>
    </w:p>
    <w:p>
      <w:pPr>
        <w:pStyle w:val="ListBullet"/>
      </w:pPr>
      <w:r>
        <w:t>Teams must log requests in Google Workspace and track outcomes in ERP System for audit readiness.</w:t>
      </w:r>
    </w:p>
    <w:p>
      <w:pPr>
        <w:pStyle w:val="Heading1"/>
      </w:pPr>
      <w:r>
        <w:t>Budget Controls</w:t>
      </w:r>
    </w:p>
    <w:p>
      <w:r>
        <w:t>The Information Technology organization uses PostgreSQL to enforce consistent service baselines. Teams must log requests in Google Workspace and track outcomes in ERP System for audit readiness. We prioritize customer impact, data integrity, and regulatory alignment. Risk acceptance must be documented and revalidated each quarter.</w:t>
      </w:r>
    </w:p>
    <w:p>
      <w:r>
        <w:t>This document aligns with HIPAA requirements and supports EU data residency expectations. Regional teams in EU follow the same policy with localized legal review. This document aligns with HIPAA requirements and supports EU data residency expectations. Systems are monitored via PostgreSQL and alert routing in Google Workspace.</w:t>
      </w:r>
    </w:p>
    <w:p>
      <w:pPr>
        <w:pStyle w:val="ListBullet"/>
      </w:pPr>
      <w:r>
        <w:t>All changes require peer review and validation in the ERP System before production promotion.</w:t>
      </w:r>
    </w:p>
    <w:p>
      <w:pPr>
        <w:pStyle w:val="ListBullet"/>
      </w:pPr>
      <w:r>
        <w:t>This document aligns with HIPAA requirements and supports EU data residency expectations.</w:t>
      </w:r>
    </w:p>
    <w:p>
      <w:pPr>
        <w:pStyle w:val="ListBullet"/>
      </w:pPr>
      <w:r>
        <w:t>The Information Technology team coordinates with Platform Engineer to maintain operational readiness.</w:t>
      </w:r>
    </w:p>
    <w:p>
      <w:pPr>
        <w:pStyle w:val="ListBullet"/>
      </w:pPr>
      <w:r>
        <w:t>All incidents are tagged with severity and mapped to service tiers.</w:t>
      </w:r>
    </w:p>
    <w:p>
      <w:pPr>
        <w:pStyle w:val="ListBullet"/>
      </w:pPr>
      <w:r>
        <w:t>Evidence artifacts are retained in Google Workspace for at least 12 months.</w:t>
      </w:r>
    </w:p>
    <w:p>
      <w:pPr>
        <w:pStyle w:val="Heading1"/>
      </w:pPr>
      <w:r>
        <w:t>Reporting</w:t>
      </w:r>
    </w:p>
    <w:p>
      <w:r>
        <w:t>This document aligns with HIPAA requirements and supports EU data residency expectations. Stakeholders include the Platform Engineer, service owner, and compliance lead for approvals. Audit sampling occurs monthly and is summarized in leadership dashboards.</w:t>
      </w:r>
    </w:p>
    <w:p>
      <w:r>
        <w:t>This document aligns with HIPAA requirements and supports EU data residency expectations. Stakeholders include the Platform Engineer, service owner, and compliance lead for approvals. Evidence artifacts are retained in Google Workspace for at least 12 months.</w:t>
      </w:r>
    </w:p>
    <w:p>
      <w:pPr>
        <w:pStyle w:val="ListBullet"/>
      </w:pPr>
      <w:r>
        <w:t>The Information Technology team coordinates with Platform Engineer to maintain operational readiness.</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Platform Engineer</w:t>
            </w:r>
          </w:p>
        </w:tc>
        <w:tc>
          <w:tcPr>
            <w:tcW w:type="dxa" w:w="2880"/>
          </w:tcPr>
          <w:p>
            <w:r>
              <w:t>Complete</w:t>
            </w:r>
          </w:p>
        </w:tc>
      </w:tr>
    </w:tbl>
    <w:p>
      <w:pPr>
        <w:pStyle w:val="Heading1"/>
      </w:pPr>
      <w:r>
        <w:t>Audit Trail</w:t>
      </w:r>
    </w:p>
    <w:p>
      <w:r>
        <w:t>Evidence artifacts are retained in Google Workspace for at least 12 months. Risk acceptance must be documented and revalidated each quarter. We prioritize customer impact, data integrity, and regulatory alignment. Escalations should follow the on-call rotation with a response target of 15 minutes.</w:t>
      </w:r>
    </w:p>
    <w:p>
      <w:r>
        <w:t>Stakeholders include the Platform Engineer, service owner, and compliance lead for approvals. All changes require peer review and validation in the ERP System before production promotion.</w:t>
      </w:r>
    </w:p>
    <w:p>
      <w:pPr>
        <w:pStyle w:val="ListBullet"/>
      </w:pPr>
      <w:r>
        <w:t>Stakeholders include the Platform Engineer, service owner, and compliance lead for approvals.</w:t>
      </w:r>
    </w:p>
    <w:p>
      <w:pPr>
        <w:pStyle w:val="ListBullet"/>
      </w:pPr>
      <w:r>
        <w:t>Teams must log requests in Google Workspace and track outcomes in ERP System for audit readiness.</w:t>
      </w:r>
    </w:p>
    <w:p>
      <w:pPr>
        <w:pStyle w:val="ListBullet"/>
      </w:pPr>
      <w:r>
        <w:t>Risk acceptance must be documented and revalidated each quarter.</w:t>
      </w:r>
    </w:p>
    <w:p>
      <w:pPr>
        <w:pStyle w:val="ListBullet"/>
      </w:pPr>
      <w:r>
        <w:t>The Information Technology organization uses PostgreSQL to enforce consistent service baselines.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