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Legal APAC v1.2</w:t>
      </w:r>
    </w:p>
    <w:p>
      <w:r>
        <w:t>Department: Legal</w:t>
      </w:r>
    </w:p>
    <w:p>
      <w:r>
        <w:t>Author: Morgan Smith</w:t>
      </w:r>
    </w:p>
    <w:p>
      <w:r>
        <w:t>Created date: 2024-04-09</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Regional teams in APAC follow the same policy with localized legal review. The Legal team coordinates with Compliance Manager to maintain operational readiness. Escalations should follow the on-call rotation with a response target of 30 minutes. Evidence artifacts are retained in Google Workspace for at least 18 months.</w:t>
      </w:r>
    </w:p>
    <w:p>
      <w:r>
        <w:t>This document aligns with PCI DSS requirements and supports APAC data residency expectations. Regional teams in APAC follow the same policy with localized legal review. Escalations should follow the on-call rotation with a response target of 30 minutes. We prioritize customer impact, data integrity, and regulatory alignment.</w:t>
      </w:r>
    </w:p>
    <w:p>
      <w:pPr>
        <w:pStyle w:val="ListBullet"/>
      </w:pPr>
      <w:r>
        <w:t>All changes require peer review and validation in the Payment Processing Service before production promotion.</w:t>
      </w:r>
    </w:p>
    <w:p>
      <w:pPr>
        <w:pStyle w:val="ListBullet"/>
      </w:pPr>
      <w:r>
        <w:t>Regional teams in APAC follow the same policy with localized legal review.</w:t>
      </w:r>
    </w:p>
    <w:p>
      <w:pPr>
        <w:pStyle w:val="ListBullet"/>
      </w:pPr>
      <w:r>
        <w:t>Escalations should follow the on-call rotation with a response target of 30 minutes.</w:t>
      </w:r>
    </w:p>
    <w:p>
      <w:pPr>
        <w:pStyle w:val="ListBullet"/>
      </w:pPr>
      <w:r>
        <w:t>Audit sampling occurs monthly and is summarized in leadership dashboards.</w:t>
      </w:r>
    </w:p>
    <w:p>
      <w:pPr>
        <w:pStyle w:val="Heading1"/>
      </w:pPr>
      <w:r>
        <w:t>Approval Workflow</w:t>
      </w:r>
    </w:p>
    <w:p>
      <w:r>
        <w:t>Systems are monitored via Azure and alert routing in Google Workspace. Stakeholders include the Compliance Manager, service owner, and compliance lead for approvals. The Legal team coordinates with Compliance Manager to maintain operational readiness. Evidence artifacts are retained in Google Workspace for at least 18 months.</w:t>
      </w:r>
    </w:p>
    <w:p>
      <w:pPr>
        <w:pStyle w:val="ListBullet"/>
      </w:pPr>
      <w:r>
        <w:t>Escalations should follow the on-call rotation with a response target of 30 minutes.</w:t>
      </w:r>
    </w:p>
    <w:p>
      <w:pPr>
        <w:pStyle w:val="ListBullet"/>
      </w:pPr>
      <w:r>
        <w:t>Stakeholders include the Compliance Manager, service owner, and compliance lead for approvals.</w:t>
      </w:r>
    </w:p>
    <w:p>
      <w:pPr>
        <w:pStyle w:val="ListBullet"/>
      </w:pPr>
      <w:r>
        <w:t>All changes require peer review and validation in the Payment Processing Service before production promotion.</w:t>
      </w:r>
    </w:p>
    <w:p>
      <w:pPr>
        <w:pStyle w:val="ListBullet"/>
      </w:pPr>
      <w:r>
        <w:t>Regional teams in APAC follow the same policy with localized legal review.</w:t>
      </w:r>
    </w:p>
    <w:p>
      <w:pPr>
        <w:pStyle w:val="ListBullet"/>
      </w:pPr>
      <w:r>
        <w:t>The process integrates with Payment Processing Service and depends on Azure for telemetry signals.</w:t>
      </w:r>
    </w:p>
    <w:p>
      <w:pPr>
        <w:pStyle w:val="Heading1"/>
      </w:pPr>
      <w:r>
        <w:t>Budget Controls</w:t>
      </w:r>
    </w:p>
    <w:p>
      <w:r>
        <w:t>The Legal team coordinates with Compliance Manager to maintain operational readiness. Evidence artifacts are retained in Google Workspace for at least 18 months.</w:t>
      </w:r>
    </w:p>
    <w:p>
      <w:pPr>
        <w:pStyle w:val="ListBullet"/>
      </w:pPr>
      <w:r>
        <w:t>The Legal organization uses Azure to enforce consistent service baselines.</w:t>
      </w:r>
    </w:p>
    <w:p>
      <w:pPr>
        <w:pStyle w:val="ListBullet"/>
      </w:pPr>
      <w:r>
        <w:t>Escalations should follow the on-call rotation with a response target of 30 minutes.</w:t>
      </w:r>
    </w:p>
    <w:p>
      <w:pPr>
        <w:pStyle w:val="ListBullet"/>
      </w:pPr>
      <w:r>
        <w:t>Teams must log requests in Google Workspace and track outcomes in Payment Processing Service for audit readiness.</w:t>
      </w:r>
    </w:p>
    <w:p>
      <w:pPr>
        <w:pStyle w:val="Heading1"/>
      </w:pPr>
      <w:r>
        <w:t>Reporting</w:t>
      </w:r>
    </w:p>
    <w:p>
      <w:r>
        <w:t>Stakeholders include the Compliance Manager, service owner, and compliance lead for approvals. Regional teams in APAC follow the same policy with localized legal review.</w:t>
      </w:r>
    </w:p>
    <w:p>
      <w:r>
        <w:t>Evidence artifacts are retained in Google Workspace for at least 18 months. Teams must log requests in Google Workspace and track outcomes in Payment Processing Service for audit readiness. Stakeholders include the Compliance Manager, service owner, and compliance lead for approvals.</w:t>
      </w:r>
    </w:p>
    <w:p>
      <w:pPr>
        <w:pStyle w:val="ListBullet"/>
      </w:pPr>
      <w:r>
        <w:t>Systems are monitored via Azure and alert routing in Google Workspace.</w:t>
      </w:r>
    </w:p>
    <w:p>
      <w:pPr>
        <w:pStyle w:val="ListBullet"/>
      </w:pPr>
      <w:r>
        <w:t>Systems are monitored via Azure and alert routing in Google Workspace.</w:t>
      </w:r>
    </w:p>
    <w:p>
      <w:pPr>
        <w:pStyle w:val="ListBullet"/>
      </w:pPr>
      <w:r>
        <w:t>Teams must log requests in Google Workspace and track outcomes in Payment Processing Service for audit readiness.</w:t>
      </w:r>
    </w:p>
    <w:p>
      <w:pPr>
        <w:pStyle w:val="ListBullet"/>
      </w:pPr>
      <w:r>
        <w:t>Teams must log requests in Google Workspace and track outcomes in Payment Processing Service for audit readiness.</w:t>
      </w:r>
    </w:p>
    <w:p>
      <w:pPr>
        <w:pStyle w:val="ListBullet"/>
      </w:pPr>
      <w:r>
        <w:t>Regional teams in APAC follow the same policy with localized legal review.</w:t>
      </w:r>
    </w:p>
    <w:p>
      <w:pPr>
        <w:pStyle w:val="Heading1"/>
      </w:pPr>
      <w:r>
        <w:t>Audit Trail</w:t>
      </w:r>
    </w:p>
    <w:p>
      <w:r>
        <w:t>Escalations should follow the on-call rotation with a response target of 30 minutes. The Legal organization uses Azure to enforce consistent service baselines. Teams must log requests in Google Workspace and track outcomes in Payment Processing Service for audit readiness.</w:t>
      </w:r>
    </w:p>
    <w:p>
      <w:r>
        <w:t>The process integrates with Payment Processing Service and depends on Azure for telemetry signals. This document aligns with PCI DSS requirements and supports APAC data residency expectations. All incidents are tagged with severity and mapped to service tiers.</w:t>
      </w:r>
    </w:p>
    <w:p>
      <w:pPr>
        <w:pStyle w:val="ListBullet"/>
      </w:pPr>
      <w:r>
        <w:t>The Legal organization uses Azure to enforce consistent service baselines.</w:t>
      </w:r>
    </w:p>
    <w:p>
      <w:pPr>
        <w:pStyle w:val="ListBullet"/>
      </w:pPr>
      <w:r>
        <w:t>Audit sampling occurs monthly and is summarized in leadership dashboards.</w:t>
      </w:r>
    </w:p>
    <w:p>
      <w:pPr>
        <w:pStyle w:val="ListBullet"/>
      </w:pPr>
      <w:r>
        <w:t>Regional teams in APAC follow the same policy with localized legal review.</w:t>
      </w:r>
    </w:p>
    <w:p>
      <w:pPr>
        <w:pStyle w:val="ListBullet"/>
      </w:pPr>
      <w:r>
        <w:t>The Legal organization uses Azure to enforce consistent service baselines.</w:t>
      </w:r>
    </w:p>
    <w:p>
      <w:pPr>
        <w:pStyle w:val="ListBullet"/>
      </w:pPr>
      <w:r>
        <w:t>Teams must log requests in Google Workspace and track outcomes in Payment Processing Service for audit readiness.</w:t>
      </w:r>
    </w:p>
    <w:p>
      <w:pPr>
        <w:pStyle w:val="ListBullet"/>
      </w:pPr>
      <w:r>
        <w:t>Escalations should follow the on-call rotation with a response target of 30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