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Legal EU v1.1</w:t>
      </w:r>
    </w:p>
    <w:p>
      <w:r>
        <w:t>Department: Legal</w:t>
      </w:r>
    </w:p>
    <w:p>
      <w:r>
        <w:t>Author: Morgan Lee</w:t>
      </w:r>
    </w:p>
    <w:p>
      <w:r>
        <w:t>Created date: 2026-02-10</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Legal team coordinates with Procurement Lead to maintain operational readiness. The Legal organization uses Kubernetes to enforce consistent service baselines.</w:t>
      </w:r>
    </w:p>
    <w:p>
      <w:pPr>
        <w:pStyle w:val="ListBullet"/>
      </w:pPr>
      <w:r>
        <w:t>Audit sampling occurs monthly and is summarized in leadership dashboards.</w:t>
      </w:r>
    </w:p>
    <w:p>
      <w:pPr>
        <w:pStyle w:val="ListBullet"/>
      </w:pPr>
      <w:r>
        <w:t>This document aligns with PCI DSS requirements and supports EU data residency expectations.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Approval Workflow</w:t>
      </w:r>
    </w:p>
    <w:p>
      <w:r>
        <w:t>Risk acceptance must be documented and revalidated each quarter. The process integrates with Document Repository and depends on Kubernetes for telemetry signals.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This document aligns with PCI DSS requirements and supports EU data residency expectations.</w:t>
      </w:r>
    </w:p>
    <w:p>
      <w:pPr>
        <w:pStyle w:val="Heading1"/>
      </w:pPr>
      <w:r>
        <w:t>Budget Controls</w:t>
      </w:r>
    </w:p>
    <w:p>
      <w:r>
        <w:t>Escalations should follow the on-call rotation with a response target of 45 minutes. The process integrates with Document Repository and depends on Kubernetes for telemetry signals. Stakeholders include the Procurement Lead, service owner, and compliance lead for approvals.</w:t>
      </w:r>
    </w:p>
    <w:p>
      <w:r>
        <w:t>Teams must log requests in Zoom and track outcomes in Document Repository for audit readiness. Systems are monitored via Kubernetes and alert routing in Zoom.</w:t>
      </w:r>
    </w:p>
    <w:p>
      <w:pPr>
        <w:pStyle w:val="ListBullet"/>
      </w:pPr>
      <w:r>
        <w:t>Escalations should follow the on-call rotation with a response target of 45 minutes.</w:t>
      </w:r>
    </w:p>
    <w:p>
      <w:pPr>
        <w:pStyle w:val="ListBullet"/>
      </w:pPr>
      <w:r>
        <w:t>Systems are monitored via Kubernetes and alert routing in Zoom.</w:t>
      </w:r>
    </w:p>
    <w:p>
      <w:pPr>
        <w:pStyle w:val="ListBullet"/>
      </w:pPr>
      <w:r>
        <w:t>Systems are monitored via Kubernetes and alert routing in Zoom.</w:t>
      </w:r>
    </w:p>
    <w:p>
      <w:pPr>
        <w:pStyle w:val="ListBullet"/>
      </w:pPr>
      <w:r>
        <w:t>The process integrates with Document Repository and depends on Kubernetes for telemetry signals.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Backup validation</w:t>
            </w:r>
          </w:p>
        </w:tc>
        <w:tc>
          <w:tcPr>
            <w:tcW w:type="dxa" w:w="2880"/>
          </w:tcPr>
          <w:p>
            <w:r>
              <w:t>Operations</w:t>
            </w:r>
          </w:p>
        </w:tc>
        <w:tc>
          <w:tcPr>
            <w:tcW w:type="dxa" w:w="2880"/>
          </w:tcPr>
          <w:p>
            <w:r>
              <w:t>Blocked</w:t>
            </w:r>
          </w:p>
        </w:tc>
      </w:tr>
    </w:tbl>
    <w:p>
      <w:pPr>
        <w:pStyle w:val="Heading1"/>
      </w:pPr>
      <w:r>
        <w:t>Reporting</w:t>
      </w:r>
    </w:p>
    <w:p>
      <w:r>
        <w:t>Risk acceptance must be documented and revalidated each quarter. The Legal organization uses Kubernetes to enforce consistent service baselines. We prioritize customer impact, data integrity, and regulatory alignment.</w:t>
      </w:r>
    </w:p>
    <w:p>
      <w:r>
        <w:t>The Legal team coordinates with Procurement Lead to maintain operational readiness. Systems are monitored via Kubernetes and alert routing in Zoom.</w:t>
      </w:r>
    </w:p>
    <w:p>
      <w:pPr>
        <w:pStyle w:val="ListBullet"/>
      </w:pPr>
      <w:r>
        <w:t>The Legal team coordinates with Procurement Lead to maintain operational readiness.</w:t>
      </w:r>
    </w:p>
    <w:p>
      <w:pPr>
        <w:pStyle w:val="ListBullet"/>
      </w:pPr>
      <w:r>
        <w:t>Teams must log requests in Zoom and track outcomes in Document Repository for audit readiness.</w:t>
      </w:r>
    </w:p>
    <w:p>
      <w:pPr>
        <w:pStyle w:val="ListBullet"/>
      </w:pPr>
      <w:r>
        <w:t>Evidence artifacts are retained in Zoom for at least 36 months.</w:t>
      </w:r>
    </w:p>
    <w:p>
      <w:pPr>
        <w:pStyle w:val="ListBullet"/>
      </w:pPr>
      <w:r>
        <w:t>Stakeholders include the Procurement Lead, service owner, and compliance lead for approvals.</w:t>
      </w:r>
    </w:p>
    <w:p>
      <w:pPr>
        <w:pStyle w:val="ListBullet"/>
      </w:pPr>
      <w:r>
        <w:t>All changes require peer review and validation in the Document Repository before production promotion.</w:t>
      </w:r>
    </w:p>
    <w:p>
      <w:pPr>
        <w:pStyle w:val="Heading1"/>
      </w:pPr>
      <w:r>
        <w:t>Audit Trail</w:t>
      </w:r>
    </w:p>
    <w:p>
      <w:r>
        <w:t>We prioritize customer impact, data integrity, and regulatory alignment. Evidence artifacts are retained in Zoom for at least 36 months. Stakeholders include the Procurement Lead, service owner, and compliance lead for approvals.</w:t>
      </w:r>
    </w:p>
    <w:p>
      <w:r>
        <w:t>Regional teams in EU follow the same policy with localized legal review. Stakeholders include the Procurement Lead, service owner, and compliance lead for approvals. Teams must log requests in Zoom and track outcomes in Document Repository for audit readiness. All changes require peer review and validation in the Document Repository before production promotion.</w:t>
      </w:r>
    </w:p>
    <w:p>
      <w:pPr>
        <w:pStyle w:val="ListBullet"/>
      </w:pPr>
      <w:r>
        <w:t>We prioritize customer impact, data integrity, and regulatory alignment.</w:t>
      </w:r>
    </w:p>
    <w:p>
      <w:pPr>
        <w:pStyle w:val="ListBullet"/>
      </w:pPr>
      <w:r>
        <w:t>Stakeholders include the Procurement Lead, service owner, and compliance lead for approvals.</w:t>
      </w:r>
    </w:p>
    <w:p>
      <w:pPr>
        <w:pStyle w:val="ListBullet"/>
      </w:pPr>
      <w:r>
        <w:t>Systems are monitored via Kubernetes and alert routing in Zoom.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