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Finance Policies - Legal EU v3.0</w:t>
      </w:r>
    </w:p>
    <w:p>
      <w:r>
        <w:t>Department: Legal</w:t>
      </w:r>
    </w:p>
    <w:p>
      <w:r>
        <w:t>Author: Avery Nguyen</w:t>
      </w:r>
    </w:p>
    <w:p>
      <w:r>
        <w:t>Created date: 2026-01-27</w:t>
      </w:r>
    </w:p>
    <w:p>
      <w:r>
        <w:t>Region: EU</w:t>
      </w:r>
    </w:p>
    <w:p>
      <w:r>
        <w:t>Version: 3.0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Policy Statement</w:t>
      </w:r>
    </w:p>
    <w:p>
      <w:r>
        <w:t>All changes require peer review and validation in the Payment Processing Service before production promotion. Systems are monitored via Kafka and alert routing in Workday.</w:t>
      </w:r>
    </w:p>
    <w:p>
      <w:r>
        <w:t>Escalations should follow the on-call rotation with a response target of 30 minutes. Regional teams in EU follow the same policy with localized legal review.</w:t>
      </w:r>
    </w:p>
    <w:p>
      <w:pPr>
        <w:pStyle w:val="ListBullet"/>
      </w:pPr>
      <w:r>
        <w:t>Stakeholders include the SRE, service owner, and compliance lead for approvals.</w:t>
      </w:r>
    </w:p>
    <w:p>
      <w:pPr>
        <w:pStyle w:val="ListBullet"/>
      </w:pPr>
      <w:r>
        <w:t>Regional teams in EU follow the same policy with localized legal review.</w:t>
      </w:r>
    </w:p>
    <w:p>
      <w:pPr>
        <w:pStyle w:val="ListBullet"/>
      </w:pPr>
      <w:r>
        <w:t>The Legal organization uses Kafka to enforce consistent service baselines.</w:t>
      </w:r>
    </w:p>
    <w:p>
      <w:pPr>
        <w:pStyle w:val="ListBullet"/>
      </w:pPr>
      <w:r>
        <w:t>The process integrates with Payment Processing Service and depends on Kafka for telemetry signals.</w:t>
      </w:r>
    </w:p>
    <w:p>
      <w:pPr>
        <w:pStyle w:val="Heading1"/>
      </w:pPr>
      <w:r>
        <w:t>Approval Workflow</w:t>
      </w:r>
    </w:p>
    <w:p>
      <w:r>
        <w:t>Systems are monitored via Kafka and alert routing in Workday. Risk acceptance must be documented and revalidated each quarter.</w:t>
      </w:r>
    </w:p>
    <w:p>
      <w:r>
        <w:t>Systems are monitored via Kafka and alert routing in Workday. All changes require peer review and validation in the Payment Processing Service before production promotion.</w:t>
      </w:r>
    </w:p>
    <w:p>
      <w:pPr>
        <w:pStyle w:val="ListBullet"/>
      </w:pPr>
      <w:r>
        <w:t>Evidence artifacts are retained in Workday for at least 36 months.</w:t>
      </w:r>
    </w:p>
    <w:p>
      <w:pPr>
        <w:pStyle w:val="ListBullet"/>
      </w:pPr>
      <w:r>
        <w:t>All changes require peer review and validation in the Payment Processing Service before production promotion.</w:t>
      </w:r>
    </w:p>
    <w:p>
      <w:pPr>
        <w:pStyle w:val="ListBullet"/>
      </w:pPr>
      <w:r>
        <w:t>The process integrates with Payment Processing Service and depends on Kafka for telemetry signals.</w:t>
      </w:r>
    </w:p>
    <w:p>
      <w:pPr>
        <w:pStyle w:val="Heading1"/>
      </w:pPr>
      <w:r>
        <w:t>Budget Controls</w:t>
      </w:r>
    </w:p>
    <w:p>
      <w:r>
        <w:t>This document aligns with SOX requirements and supports EU data residency expectations. The Legal team coordinates with SRE to maintain operational readiness.</w:t>
      </w:r>
    </w:p>
    <w:p>
      <w:r>
        <w:t>The Legal team coordinates with SRE to maintain operational readiness. Teams must log requests in Workday and track outcomes in Payment Processing Service for audit readiness. We prioritize customer impact, data integrity, and regulatory alignment. Escalations should follow the on-call rotation with a response target of 30 minutes.</w:t>
      </w:r>
    </w:p>
    <w:p>
      <w:pPr>
        <w:pStyle w:val="ListBullet"/>
      </w:pPr>
      <w:r>
        <w:t>Stakeholders include the SRE, service owner, and compliance lead for approvals.</w:t>
      </w:r>
    </w:p>
    <w:p>
      <w:pPr>
        <w:pStyle w:val="ListBullet"/>
      </w:pPr>
      <w:r>
        <w:t>Stakeholders include the SRE, service owner, and compliance lead for approvals.</w:t>
      </w:r>
    </w:p>
    <w:p>
      <w:pPr>
        <w:pStyle w:val="ListBullet"/>
      </w:pPr>
      <w:r>
        <w:t>This document aligns with SOX requirements and supports EU data residency expectations.</w:t>
      </w:r>
    </w:p>
    <w:p>
      <w:pPr>
        <w:pStyle w:val="ListBullet"/>
      </w:pPr>
      <w:r>
        <w:t>This document aligns with SOX requirements and supports EU data residency expectations.</w:t>
      </w:r>
    </w:p>
    <w:p>
      <w:pPr>
        <w:pStyle w:val="ListBullet"/>
      </w:pPr>
      <w:r>
        <w:t>Stakeholders include the SRE, service owner, and compliance lead for approvals.</w:t>
      </w:r>
    </w:p>
    <w:p>
      <w:pPr>
        <w:pStyle w:val="Heading1"/>
      </w:pPr>
      <w:r>
        <w:t>Reporting</w:t>
      </w:r>
    </w:p>
    <w:p>
      <w:r>
        <w:t>All changes require peer review and validation in the Payment Processing Service before production promotion. All changes require peer review and validation in the Payment Processing Service before production promotion. Escalations should follow the on-call rotation with a response target of 30 minutes. All incidents are tagged with severity and mapped to service tiers.</w:t>
      </w:r>
    </w:p>
    <w:p>
      <w:r>
        <w:t>This document aligns with SOX requirements and supports EU data residency expectations. The Legal organization uses Kafka to enforce consistent service baselines.</w:t>
      </w:r>
    </w:p>
    <w:p>
      <w:pPr>
        <w:pStyle w:val="ListBullet"/>
      </w:pPr>
      <w:r>
        <w:t>Systems are monitored via Kafka and alert routing in Workday.</w:t>
      </w:r>
    </w:p>
    <w:p>
      <w:pPr>
        <w:pStyle w:val="ListBullet"/>
      </w:pPr>
      <w:r>
        <w:t>The Legal team coordinates with SRE to maintain operational readiness.</w:t>
      </w:r>
    </w:p>
    <w:p>
      <w:pPr>
        <w:pStyle w:val="ListBullet"/>
      </w:pPr>
      <w:r>
        <w:t>We prioritize customer impact, data integrity, and regulatory alignment.</w:t>
      </w:r>
    </w:p>
    <w:p>
      <w:pPr>
        <w:pStyle w:val="ListBullet"/>
      </w:pPr>
      <w:r>
        <w:t>Regional teams in EU follow the same policy with localized legal review.</w:t>
      </w:r>
    </w:p>
    <w:p>
      <w:pPr>
        <w:pStyle w:val="ListBullet"/>
      </w:pPr>
      <w:r>
        <w:t>The Legal organization uses Kafka to enforce consistent service baselines.</w:t>
      </w:r>
    </w:p>
    <w:p>
      <w:pPr>
        <w:pStyle w:val="Heading1"/>
      </w:pPr>
      <w:r>
        <w:t>Audit Trail</w:t>
      </w:r>
    </w:p>
    <w:p>
      <w:r>
        <w:t>Systems are monitored via Kafka and alert routing in Workday. Teams must log requests in Workday and track outcomes in Payment Processing Service for audit readiness.</w:t>
      </w:r>
    </w:p>
    <w:p>
      <w:r>
        <w:t>All changes require peer review and validation in the Payment Processing Service before production promotion. The Legal team coordinates with SRE to maintain operational readiness.</w:t>
      </w:r>
    </w:p>
    <w:p>
      <w:pPr>
        <w:pStyle w:val="ListBullet"/>
      </w:pPr>
      <w:r>
        <w:t>The Legal team coordinates with SRE to maintain operational readiness.</w:t>
      </w:r>
    </w:p>
    <w:p>
      <w:pPr>
        <w:pStyle w:val="ListBullet"/>
      </w:pPr>
      <w:r>
        <w:t>This document aligns with SOX requirements and supports EU data residency expectations.</w:t>
      </w:r>
    </w:p>
    <w:p>
      <w:pPr>
        <w:pStyle w:val="ListBullet"/>
      </w:pPr>
      <w:r>
        <w:t>Evidence artifacts are retained in Workday for at least 36 months.</w:t>
      </w:r>
    </w:p>
    <w:p>
      <w:pPr>
        <w:pStyle w:val="ListBullet"/>
      </w:pPr>
      <w:r>
        <w:t>Escalations should follow the on-call rotation with a response target of 30 minutes.</w:t>
      </w:r>
    </w:p>
    <w:p>
      <w:pPr>
        <w:pStyle w:val="ListBullet"/>
      </w:pPr>
      <w:r>
        <w:t>Audit sampling occurs monthly and is summarized in leadership dashboards.</w:t>
      </w:r>
    </w:p>
    <w:p>
      <w:pPr>
        <w:pStyle w:val="ListBullet"/>
      </w:pPr>
      <w:r>
        <w:t>This document aligns with SOX requirements and supports EU data residency expectations.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