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Operations US v2.0</w:t>
      </w:r>
    </w:p>
    <w:p>
      <w:r>
        <w:t>Department: Operations</w:t>
      </w:r>
    </w:p>
    <w:p>
      <w:r>
        <w:t>Author: Morgan Lee</w:t>
      </w:r>
    </w:p>
    <w:p>
      <w:r>
        <w:t>Created date: 2026-04-12</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This document aligns with PCI DSS requirements and supports US data residency expectations. Escalations should follow the on-call rotation with a response target of 30 minutes.</w:t>
      </w:r>
    </w:p>
    <w:p>
      <w:r>
        <w:t>The process integrates with Customer Data Lake and depends on Azure AD for telemetry signals. The Operations team coordinates with Support Specialist to maintain operational readiness.</w:t>
      </w:r>
    </w:p>
    <w:p>
      <w:pPr>
        <w:pStyle w:val="ListBullet"/>
      </w:pPr>
      <w:r>
        <w:t>All changes require peer review and validation in the Customer Data Lake before production promotion.</w:t>
      </w:r>
    </w:p>
    <w:p>
      <w:pPr>
        <w:pStyle w:val="ListBullet"/>
      </w:pPr>
      <w:r>
        <w:t>Risk acceptance must be documented and revalidated each quarter.</w:t>
      </w:r>
    </w:p>
    <w:p>
      <w:pPr>
        <w:pStyle w:val="ListBullet"/>
      </w:pPr>
      <w:r>
        <w:t>All changes require peer review and validation in the Customer Data Lake before production promotion.</w:t>
      </w:r>
    </w:p>
    <w:p>
      <w:pPr>
        <w:pStyle w:val="Heading1"/>
      </w:pPr>
      <w:r>
        <w:t>Approval Workflow</w:t>
      </w:r>
    </w:p>
    <w:p>
      <w:r>
        <w:t>Risk acceptance must be documented and revalidated each quarter. The process integrates with Customer Data Lake and depends on Azure AD for telemetry signals. All incidents are tagged with severity and mapped to service tiers. The process integrates with Customer Data Lake and depends on Azure AD for telemetry signals.</w:t>
      </w:r>
    </w:p>
    <w:p>
      <w:r>
        <w:t>Systems are monitored via Azure AD and alert routing in Google Workspace. The process integrates with Customer Data Lake and depends on Azure AD for telemetry signals.</w:t>
      </w:r>
    </w:p>
    <w:p>
      <w:pPr>
        <w:pStyle w:val="ListBullet"/>
      </w:pPr>
      <w:r>
        <w:t>The process integrates with Customer Data Lake and depends on Azure AD for telemetry signals.</w:t>
      </w:r>
    </w:p>
    <w:p>
      <w:pPr>
        <w:pStyle w:val="ListBullet"/>
      </w:pPr>
      <w:r>
        <w:t>The process integrates with Customer Data Lake and depends on Azure AD for telemetry signals.</w:t>
      </w:r>
    </w:p>
    <w:p>
      <w:pPr>
        <w:pStyle w:val="ListBullet"/>
      </w:pPr>
      <w:r>
        <w:t>Regional teams in US follow the same policy with localized legal review.</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The Operations team coordinates with Support Specialist to maintain operational readiness.</w:t>
      </w:r>
    </w:p>
    <w:p>
      <w:pPr>
        <w:pStyle w:val="Heading1"/>
      </w:pPr>
      <w:r>
        <w:t>Budget Controls</w:t>
      </w:r>
    </w:p>
    <w:p>
      <w:r>
        <w:t>The process integrates with Customer Data Lake and depends on Azure AD for telemetry signals. The process integrates with Customer Data Lake and depends on Azure AD for telemetry signals. Evidence artifacts are retained in Google Workspace for at least 12 months.</w:t>
      </w:r>
    </w:p>
    <w:p>
      <w:pPr>
        <w:pStyle w:val="ListBullet"/>
      </w:pPr>
      <w:r>
        <w:t>All changes require peer review and validation in the Customer Data Lake before production promotion.</w:t>
      </w:r>
    </w:p>
    <w:p>
      <w:pPr>
        <w:pStyle w:val="ListBullet"/>
      </w:pPr>
      <w:r>
        <w:t>The Operations team coordinates with Support Specialist to maintain operational readiness.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The Operations team coordinates with Support Specialist to maintain operational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Complete</w:t>
            </w:r>
          </w:p>
        </w:tc>
      </w:tr>
      <w:tr>
        <w:tc>
          <w:tcPr>
            <w:tcW w:type="dxa" w:w="2880"/>
          </w:tcPr>
          <w:p>
            <w:r>
              <w:t>Vendor check</w:t>
            </w:r>
          </w:p>
        </w:tc>
        <w:tc>
          <w:tcPr>
            <w:tcW w:type="dxa" w:w="2880"/>
          </w:tcPr>
          <w:p>
            <w:r>
              <w:t>Security</w:t>
            </w:r>
          </w:p>
        </w:tc>
        <w:tc>
          <w:tcPr>
            <w:tcW w:type="dxa" w:w="2880"/>
          </w:tcPr>
          <w:p>
            <w:r>
              <w:t>In Progress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Backup validation</w:t>
            </w:r>
          </w:p>
        </w:tc>
        <w:tc>
          <w:tcPr>
            <w:tcW w:type="dxa" w:w="2880"/>
          </w:tcPr>
          <w:p>
            <w:r>
              <w:t>Security</w:t>
            </w:r>
          </w:p>
        </w:tc>
        <w:tc>
          <w:tcPr>
            <w:tcW w:type="dxa" w:w="2880"/>
          </w:tcPr>
          <w:p>
            <w:r>
              <w:t>Complete</w:t>
            </w:r>
          </w:p>
        </w:tc>
      </w:tr>
    </w:tbl>
    <w:p>
      <w:pPr>
        <w:pStyle w:val="Heading1"/>
      </w:pPr>
      <w:r>
        <w:t>Reporting</w:t>
      </w:r>
    </w:p>
    <w:p>
      <w:r>
        <w:t>Systems are monitored via Azure AD and alert routing in Google Workspace. Regional teams in US follow the same policy with localized legal review.</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Evidence artifacts are retained in Google Workspace for at least 12 months.</w:t>
      </w:r>
    </w:p>
    <w:p>
      <w:pPr>
        <w:pStyle w:val="ListBullet"/>
      </w:pPr>
      <w:r>
        <w:t>Risk acceptance must be documented and revalidated each quarter.</w:t>
      </w:r>
    </w:p>
    <w:p>
      <w:pPr>
        <w:pStyle w:val="ListBullet"/>
      </w:pPr>
      <w:r>
        <w:t>The Operations team coordinates with Support Specialist to maintain operational readiness.</w:t>
      </w:r>
    </w:p>
    <w:p>
      <w:pPr>
        <w:pStyle w:val="Heading1"/>
      </w:pPr>
      <w:r>
        <w:t>Audit Trail</w:t>
      </w:r>
    </w:p>
    <w:p>
      <w:r>
        <w:t>Risk acceptance must be documented and revalidated each quarter. We prioritize customer impact, data integrity, and regulatory alignment.</w:t>
      </w:r>
    </w:p>
    <w:p>
      <w:pPr>
        <w:pStyle w:val="ListBullet"/>
      </w:pPr>
      <w:r>
        <w:t>All changes require peer review and validation in the Customer Data Lake before production promotion.</w:t>
      </w:r>
    </w:p>
    <w:p>
      <w:pPr>
        <w:pStyle w:val="ListBullet"/>
      </w:pPr>
      <w:r>
        <w:t>The process integrates with Customer Data Lake and depends on Azure AD for telemetry signals.</w:t>
      </w:r>
    </w:p>
    <w:p>
      <w:pPr>
        <w:pStyle w:val="ListBullet"/>
      </w:pPr>
      <w:r>
        <w:t>Systems are monitored via Azure AD and alert routing in Google Workspace.</w:t>
      </w:r>
    </w:p>
    <w:p>
      <w:pPr>
        <w:pStyle w:val="ListBullet"/>
      </w:pPr>
      <w:r>
        <w:t>Risk acceptance must be documented and revalidated each quarter.</w:t>
      </w:r>
    </w:p>
    <w:p>
      <w:pPr>
        <w:pStyle w:val="ListBullet"/>
      </w:pPr>
      <w:r>
        <w:t>Escalations should follow the on-call rotation with a response target of 30 minutes.</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Support Specialist</w:t>
            </w:r>
          </w:p>
        </w:tc>
        <w:tc>
          <w:tcPr>
            <w:tcW w:type="dxa" w:w="2880"/>
          </w:tcPr>
          <w:p>
            <w:r>
              <w:t>In Progress</w:t>
            </w:r>
          </w:p>
        </w:tc>
      </w:tr>
      <w:tr>
        <w:tc>
          <w:tcPr>
            <w:tcW w:type="dxa" w:w="2880"/>
          </w:tcPr>
          <w:p>
            <w:r>
              <w:t>Incident drill</w:t>
            </w:r>
          </w:p>
        </w:tc>
        <w:tc>
          <w:tcPr>
            <w:tcW w:type="dxa" w:w="2880"/>
          </w:tcPr>
          <w:p>
            <w:r>
              <w:t>Operations</w:t>
            </w:r>
          </w:p>
        </w:tc>
        <w:tc>
          <w:tcPr>
            <w:tcW w:type="dxa" w:w="2880"/>
          </w:tcPr>
          <w:p>
            <w:r>
              <w:t>Blocked</w:t>
            </w:r>
          </w:p>
        </w:tc>
      </w:tr>
      <w:tr>
        <w:tc>
          <w:tcPr>
            <w:tcW w:type="dxa" w:w="2880"/>
          </w:tcPr>
          <w:p>
            <w:r>
              <w:t>Vendor check</w:t>
            </w:r>
          </w:p>
        </w:tc>
        <w:tc>
          <w:tcPr>
            <w:tcW w:type="dxa" w:w="2880"/>
          </w:tcPr>
          <w:p>
            <w:r>
              <w:t>Support Specialist</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