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Procurement APAC v2.1</w:t>
      </w:r>
    </w:p>
    <w:p>
      <w:r>
        <w:t>Department: Procurement</w:t>
      </w:r>
    </w:p>
    <w:p>
      <w:r>
        <w:t>Author: Riley Brown</w:t>
      </w:r>
    </w:p>
    <w:p>
      <w:r>
        <w:t>Created date: 2024-11-29</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Procurement organization uses ServiceNow to enforce consistent service baselines. The process integrates with CRM Platform and depends on ServiceNow for telemetry signals. The Procurement organization uses ServiceNow to enforce consistent service baselines. Regional teams in APAC follow the same policy with localized legal review.</w:t>
      </w:r>
    </w:p>
    <w:p>
      <w:r>
        <w:t>The Procurement team coordinates with SRE to maintain operational readiness. Regional teams in APAC follow the same policy with localized legal review. All changes require peer review and validation in the CRM Platform before production promotion.</w:t>
      </w:r>
    </w:p>
    <w:p>
      <w:pPr>
        <w:pStyle w:val="ListBullet"/>
      </w:pPr>
      <w:r>
        <w:t>Audit sampling occurs monthly and is summarized in leadership dashboards.</w:t>
      </w:r>
    </w:p>
    <w:p>
      <w:pPr>
        <w:pStyle w:val="ListBullet"/>
      </w:pPr>
      <w:r>
        <w:t>The Procurement organization uses ServiceNow to enforce consistent service baselines.</w:t>
      </w:r>
    </w:p>
    <w:p>
      <w:pPr>
        <w:pStyle w:val="ListBullet"/>
      </w:pPr>
      <w:r>
        <w:t>This document aligns with ISO 27001 requirements and supports APAC data residency expectations.</w:t>
      </w:r>
    </w:p>
    <w:p>
      <w:pPr>
        <w:pStyle w:val="ListBullet"/>
      </w:pPr>
      <w:r>
        <w:t>All incidents are tagged with severity and mapped to service tiers.</w:t>
      </w:r>
    </w:p>
    <w:p>
      <w:pPr>
        <w:pStyle w:val="ListBullet"/>
      </w:pPr>
      <w:r>
        <w:t>The Procurement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Backup validation</w:t>
            </w:r>
          </w:p>
        </w:tc>
        <w:tc>
          <w:tcPr>
            <w:tcW w:type="dxa" w:w="2880"/>
          </w:tcPr>
          <w:p>
            <w:r>
              <w:t>Procurement</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Approval Workflow</w:t>
      </w:r>
    </w:p>
    <w:p>
      <w:r>
        <w:t>Regional teams in APAC follow the same policy with localized legal review. All incidents are tagged with severity and mapped to service tiers. The Procurement organization uses ServiceNow to enforce consistent service baselines. Systems are monitored via ServiceNow and alert routing in SAP.</w:t>
      </w:r>
    </w:p>
    <w:p>
      <w:r>
        <w:t>This document aligns with ISO 27001 requirements and supports APAC data residency expectations. Audit sampling occurs monthly and is summarized in leadership dashboards.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Access review</w:t>
            </w:r>
          </w:p>
        </w:tc>
        <w:tc>
          <w:tcPr>
            <w:tcW w:type="dxa" w:w="2880"/>
          </w:tcPr>
          <w:p>
            <w:r>
              <w:t>Procurement</w:t>
            </w:r>
          </w:p>
        </w:tc>
        <w:tc>
          <w:tcPr>
            <w:tcW w:type="dxa" w:w="2880"/>
          </w:tcPr>
          <w:p>
            <w:r>
              <w:t>Complete</w:t>
            </w:r>
          </w:p>
        </w:tc>
      </w:tr>
      <w:tr>
        <w:tc>
          <w:tcPr>
            <w:tcW w:type="dxa" w:w="2880"/>
          </w:tcPr>
          <w:p>
            <w:r>
              <w:t>Patch window</w:t>
            </w:r>
          </w:p>
        </w:tc>
        <w:tc>
          <w:tcPr>
            <w:tcW w:type="dxa" w:w="2880"/>
          </w:tcPr>
          <w:p>
            <w:r>
              <w:t>Operations</w:t>
            </w:r>
          </w:p>
        </w:tc>
        <w:tc>
          <w:tcPr>
            <w:tcW w:type="dxa" w:w="2880"/>
          </w:tcPr>
          <w:p>
            <w:r>
              <w:t>Complete</w:t>
            </w:r>
          </w:p>
        </w:tc>
      </w:tr>
    </w:tbl>
    <w:p>
      <w:pPr>
        <w:pStyle w:val="Heading1"/>
      </w:pPr>
      <w:r>
        <w:t>Budget Controls</w:t>
      </w:r>
    </w:p>
    <w:p>
      <w:r>
        <w:t>Teams must log requests in SAP and track outcomes in CRM Platform for audit readiness. Teams must log requests in SAP and track outcomes in CRM Platform for audit readiness. Evidence artifacts are retained in SAP for at least 36 months.</w:t>
      </w:r>
    </w:p>
    <w:p>
      <w:r>
        <w:t>All incidents are tagged with severity and mapped to service tiers. Risk acceptance must be documented and revalidated each quarter. This document aligns with ISO 27001 requirements and supports APAC data residency expectations.</w:t>
      </w:r>
    </w:p>
    <w:p>
      <w:pPr>
        <w:pStyle w:val="ListBullet"/>
      </w:pPr>
      <w:r>
        <w:t>Risk acceptance must be documented and revalidated each quarter.</w:t>
      </w:r>
    </w:p>
    <w:p>
      <w:pPr>
        <w:pStyle w:val="ListBullet"/>
      </w:pPr>
      <w:r>
        <w:t>All changes require peer review and validation in the CRM Platform before production promotion.</w:t>
      </w:r>
    </w:p>
    <w:p>
      <w:pPr>
        <w:pStyle w:val="ListBullet"/>
      </w:pPr>
      <w:r>
        <w:t>The Procurement organization uses ServiceNow to enforce consistent service baselines.</w:t>
      </w:r>
    </w:p>
    <w:p>
      <w:pPr>
        <w:pStyle w:val="ListBullet"/>
      </w:pPr>
      <w:r>
        <w:t>The process integrates with CRM Platform and depends on ServiceNow for telemetry signals.</w:t>
      </w:r>
    </w:p>
    <w:p>
      <w:pPr>
        <w:pStyle w:val="ListBullet"/>
      </w:pPr>
      <w:r>
        <w:t>Regional teams in APAC follow the same policy with localized legal review.</w:t>
      </w:r>
    </w:p>
    <w:p>
      <w:pPr>
        <w:pStyle w:val="ListBullet"/>
      </w:pPr>
      <w:r>
        <w:t>Escalations should follow the on-call rotation with a response target of 15 minutes.</w:t>
      </w:r>
    </w:p>
    <w:p>
      <w:pPr>
        <w:pStyle w:val="Heading1"/>
      </w:pPr>
      <w:r>
        <w:t>Reporting</w:t>
      </w:r>
    </w:p>
    <w:p>
      <w:r>
        <w:t>The process integrates with CRM Platform and depends on ServiceNow for telemetry signals. Risk acceptance must be documented and revalidated each quarter.</w:t>
      </w:r>
    </w:p>
    <w:p>
      <w:r>
        <w:t>Regional teams in APAC follow the same policy with localized legal review. Stakeholders include the SRE, service owner, and compliance lead for approvals. Audit sampling occurs monthly and is summarized in leadership dashboards. The process integrates with CRM Platform and depends on ServiceNow for telemetry signals.</w:t>
      </w:r>
    </w:p>
    <w:p>
      <w:pPr>
        <w:pStyle w:val="ListBullet"/>
      </w:pPr>
      <w:r>
        <w:t>This document aligns with ISO 27001 requirements and supports APAC data residency expectations.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Stakeholders include the SRE, service owner, and compliance lead for approvals.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SRE</w:t>
            </w:r>
          </w:p>
        </w:tc>
        <w:tc>
          <w:tcPr>
            <w:tcW w:type="dxa" w:w="2880"/>
          </w:tcPr>
          <w:p>
            <w:r>
              <w:t>Planned</w:t>
            </w:r>
          </w:p>
        </w:tc>
      </w:tr>
      <w:tr>
        <w:tc>
          <w:tcPr>
            <w:tcW w:type="dxa" w:w="2880"/>
          </w:tcPr>
          <w:p>
            <w:r>
              <w:t>Patch window</w:t>
            </w:r>
          </w:p>
        </w:tc>
        <w:tc>
          <w:tcPr>
            <w:tcW w:type="dxa" w:w="2880"/>
          </w:tcPr>
          <w:p>
            <w:r>
              <w:t>SRE</w:t>
            </w:r>
          </w:p>
        </w:tc>
        <w:tc>
          <w:tcPr>
            <w:tcW w:type="dxa" w:w="2880"/>
          </w:tcPr>
          <w:p>
            <w:r>
              <w:t>Complete</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SRE</w:t>
            </w:r>
          </w:p>
        </w:tc>
        <w:tc>
          <w:tcPr>
            <w:tcW w:type="dxa" w:w="2880"/>
          </w:tcPr>
          <w:p>
            <w:r>
              <w:t>Planned</w:t>
            </w:r>
          </w:p>
        </w:tc>
      </w:tr>
    </w:tbl>
    <w:p>
      <w:pPr>
        <w:pStyle w:val="Heading1"/>
      </w:pPr>
      <w:r>
        <w:t>Audit Trail</w:t>
      </w:r>
    </w:p>
    <w:p>
      <w:r>
        <w:t>All incidents are tagged with severity and mapped to service tiers. The process integrates with CRM Platform and depends on ServiceNow for telemetry signals. The Procurement team coordinates with SRE to maintain operational readiness.</w:t>
      </w:r>
    </w:p>
    <w:p>
      <w:r>
        <w:t>The Procurement organization uses ServiceNow to enforce consistent service baselines. All changes require peer review and validation in the CRM Platform before production promotion.</w:t>
      </w:r>
    </w:p>
    <w:p>
      <w:pPr>
        <w:pStyle w:val="ListBullet"/>
      </w:pPr>
      <w:r>
        <w:t>The Procurement team coordinates with SRE to maintain operational readiness.</w:t>
      </w:r>
    </w:p>
    <w:p>
      <w:pPr>
        <w:pStyle w:val="ListBullet"/>
      </w:pPr>
      <w:r>
        <w:t>Stakeholders include the SRE, service owner, and compliance lead for approvals.</w:t>
      </w:r>
    </w:p>
    <w:p>
      <w:pPr>
        <w:pStyle w:val="ListBullet"/>
      </w:pPr>
      <w:r>
        <w:t>Evidence artifacts are retained in SAP for at least 36 months.</w:t>
      </w:r>
    </w:p>
    <w:p>
      <w:pPr>
        <w:pStyle w:val="ListBullet"/>
      </w:pPr>
      <w:r>
        <w:t>Risk acceptance must be documented and revalidated each quarter.</w:t>
      </w:r>
    </w:p>
    <w:p>
      <w:pPr>
        <w:pStyle w:val="ListBullet"/>
      </w:pPr>
      <w:r>
        <w:t>The process integrates with CRM Platform and depends on ServiceNow for telemetry signals.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