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Procurement EU v1.1</w:t>
      </w:r>
    </w:p>
    <w:p>
      <w:r>
        <w:t>Department: Procurement</w:t>
      </w:r>
    </w:p>
    <w:p>
      <w:r>
        <w:t>Author: Riley Smith</w:t>
      </w:r>
    </w:p>
    <w:p>
      <w:r>
        <w:t>Created date: 2026-03-02</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Stakeholders include the HR Business Partner, service owner, and compliance lead for approvals. Regional teams in EU follow the same policy with localized legal review. Escalations should follow the on-call rotation with a response target of 60 minutes.</w:t>
      </w:r>
    </w:p>
    <w:p>
      <w:pPr>
        <w:pStyle w:val="ListBullet"/>
      </w:pPr>
      <w:r>
        <w:t>The Procurement organization uses Snowflake to enforce consistent service baselines.</w:t>
      </w:r>
    </w:p>
    <w:p>
      <w:pPr>
        <w:pStyle w:val="ListBullet"/>
      </w:pPr>
      <w:r>
        <w:t>Evidence artifacts are retained in Microsoft 365 for at least 18 months.</w:t>
      </w:r>
    </w:p>
    <w:p>
      <w:pPr>
        <w:pStyle w:val="ListBullet"/>
      </w:pPr>
      <w:r>
        <w:t>The Procurement team coordinates with HR Business Partner to maintain operational readiness.</w:t>
      </w:r>
    </w:p>
    <w:p>
      <w:pPr>
        <w:pStyle w:val="Heading1"/>
      </w:pPr>
      <w:r>
        <w:t>Approval Workflow</w:t>
      </w:r>
    </w:p>
    <w:p>
      <w:r>
        <w:t>Escalations should follow the on-call rotation with a response target of 60 minutes. All incidents are tagged with severity and mapped to service tiers.</w:t>
      </w:r>
    </w:p>
    <w:p>
      <w:r>
        <w:t>All incidents are tagged with severity and mapped to service tiers. Stakeholders include the HR Business Partner, service owner, and compliance lead for approvals.</w:t>
      </w:r>
    </w:p>
    <w:p>
      <w:pPr>
        <w:pStyle w:val="ListBullet"/>
      </w:pPr>
      <w:r>
        <w:t>The Procurement organization uses Snowflake to enforce consistent service baselines.</w:t>
      </w:r>
    </w:p>
    <w:p>
      <w:pPr>
        <w:pStyle w:val="ListBullet"/>
      </w:pPr>
      <w:r>
        <w:t>Evidence artifacts are retained in Microsoft 365 for at least 18 months.</w:t>
      </w:r>
    </w:p>
    <w:p>
      <w:pPr>
        <w:pStyle w:val="ListBullet"/>
      </w:pPr>
      <w:r>
        <w:t>All changes require peer review and validation in the Monitoring Stack before production promotion.</w:t>
      </w:r>
    </w:p>
    <w:p>
      <w:pPr>
        <w:pStyle w:val="Heading1"/>
      </w:pPr>
      <w:r>
        <w:t>Budget Controls</w:t>
      </w:r>
    </w:p>
    <w:p>
      <w:r>
        <w:t>Systems are monitored via Snowflake and alert routing in Microsoft 365. The process integrates with Monitoring Stack and depends on Snowflake for telemetry signals.</w:t>
      </w:r>
    </w:p>
    <w:p>
      <w:pPr>
        <w:pStyle w:val="ListBullet"/>
      </w:pPr>
      <w:r>
        <w:t>Systems are monitored via Snowflake and alert routing in Microsoft 365.</w:t>
      </w:r>
    </w:p>
    <w:p>
      <w:pPr>
        <w:pStyle w:val="ListBullet"/>
      </w:pPr>
      <w:r>
        <w:t>Regional teams in EU follow the same policy with localized legal review.</w:t>
      </w:r>
    </w:p>
    <w:p>
      <w:pPr>
        <w:pStyle w:val="ListBullet"/>
      </w:pPr>
      <w:r>
        <w:t>The Procurement team coordinates with HR Business Partner to maintain operational readiness.</w:t>
      </w:r>
    </w:p>
    <w:p>
      <w:pPr>
        <w:pStyle w:val="ListBullet"/>
      </w:pPr>
      <w:r>
        <w:t>The Procurement team coordinates with HR Business Partner to maintain operational readiness.</w:t>
      </w:r>
    </w:p>
    <w:p>
      <w:pPr>
        <w:pStyle w:val="Heading1"/>
      </w:pPr>
      <w:r>
        <w:t>Reporting</w:t>
      </w:r>
    </w:p>
    <w:p>
      <w:r>
        <w:t>The Procurement team coordinates with HR Business Partner to maintain operational readiness. The Procurement organization uses Snowflake to enforce consistent service baselines.</w:t>
      </w:r>
    </w:p>
    <w:p>
      <w:pPr>
        <w:pStyle w:val="ListBullet"/>
      </w:pPr>
      <w:r>
        <w:t>We prioritize customer impact, data integrity, and regulatory alignment.</w:t>
      </w:r>
    </w:p>
    <w:p>
      <w:pPr>
        <w:pStyle w:val="ListBullet"/>
      </w:pPr>
      <w:r>
        <w:t>The process integrates with Monitoring Stack and depends on Snowflake for telemetry signals.</w:t>
      </w:r>
    </w:p>
    <w:p>
      <w:pPr>
        <w:pStyle w:val="ListBullet"/>
      </w:pPr>
      <w:r>
        <w:t>The Procurement organization uses Snowflake to enforce consistent service baselines.</w:t>
      </w:r>
    </w:p>
    <w:p>
      <w:pPr>
        <w:pStyle w:val="ListBullet"/>
      </w:pPr>
      <w:r>
        <w:t>Regional teams in EU follow the same policy with localized legal review.</w:t>
      </w:r>
    </w:p>
    <w:p>
      <w:pPr>
        <w:pStyle w:val="ListBullet"/>
      </w:pPr>
      <w:r>
        <w:t>Systems are monitored via Snowflake and alert routing in Microsoft 365.</w:t>
      </w:r>
    </w:p>
    <w:p>
      <w:pPr>
        <w:pStyle w:val="Heading1"/>
      </w:pPr>
      <w:r>
        <w:t>Audit Trail</w:t>
      </w:r>
    </w:p>
    <w:p>
      <w:r>
        <w:t>Regional teams in EU follow the same policy with localized legal review. Systems are monitored via Snowflake and alert routing in Microsoft 365. Teams must log requests in Microsoft 365 and track outcomes in Monitoring Stack for audit readiness. Audit sampling occurs monthly and is summarized in leadership dashboards.</w:t>
      </w:r>
    </w:p>
    <w:p>
      <w:pPr>
        <w:pStyle w:val="ListBullet"/>
      </w:pPr>
      <w:r>
        <w:t>This document aligns with PCI DSS requirements and supports EU data residency expectations.</w:t>
      </w:r>
    </w:p>
    <w:p>
      <w:pPr>
        <w:pStyle w:val="ListBullet"/>
      </w:pPr>
      <w:r>
        <w:t>We prioritize customer impact, data integrity, and regulatory alignment.</w:t>
      </w:r>
    </w:p>
    <w:p>
      <w:pPr>
        <w:pStyle w:val="ListBullet"/>
      </w:pPr>
      <w:r>
        <w:t>The Procurement team coordinates with HR Business Partner to maintain operational readiness.</w:t>
      </w:r>
    </w:p>
    <w:p>
      <w:pPr>
        <w:pStyle w:val="ListBullet"/>
      </w:pPr>
      <w:r>
        <w:t>The Procurement organization uses Snowflake to enforce consistent service baselines.</w:t>
      </w:r>
    </w:p>
    <w:p>
      <w:pPr>
        <w:pStyle w:val="ListBullet"/>
      </w:pPr>
      <w:r>
        <w:t>All changes require peer review and validation in the Monitoring Stack before production promotion.</w:t>
      </w:r>
    </w:p>
    <w:p>
      <w:pPr>
        <w:pStyle w:val="Heading1"/>
      </w:pPr>
      <w:r>
        <w:t>Additional Notes</w:t>
      </w:r>
    </w:p>
    <w:p>
      <w:r>
        <w:t>Regional teams in EU follow the same policy with localized legal review. Teams must log requests in Microsoft 365 and track outcomes in Monitoring Stack for audit readiness. Escalations should follow the on-call rotation with a response target of 60 minutes.</w:t>
      </w:r>
    </w:p>
    <w:p>
      <w:pPr>
        <w:pStyle w:val="ListBullet"/>
      </w:pPr>
      <w:r>
        <w:t>This document aligns with PCI DSS requirements and supports EU data residency expectations.</w:t>
      </w:r>
    </w:p>
    <w:p>
      <w:pPr>
        <w:pStyle w:val="ListBullet"/>
      </w:pPr>
      <w:r>
        <w:t>Regional teams in EU follow the same policy with localized legal review.</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