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Product EU v2.0</w:t>
      </w:r>
    </w:p>
    <w:p>
      <w:r>
        <w:t>Department: Product</w:t>
      </w:r>
    </w:p>
    <w:p>
      <w:r>
        <w:t>Author: Morgan Smith</w:t>
      </w:r>
    </w:p>
    <w:p>
      <w:r>
        <w:t>Created date: 2024-07-27</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Stakeholders include the Product Manager, service owner, and compliance lead for approvals. All incidents are tagged with severity and mapped to service tiers. Evidence artifacts are retained in Google Workspace for at least 36 months. The Product organization uses Kafka to enforce consistent service baselines.</w:t>
      </w:r>
    </w:p>
    <w:p>
      <w:pPr>
        <w:pStyle w:val="ListBullet"/>
      </w:pPr>
      <w:r>
        <w:t>Teams must log requests in Google Workspace and track outcomes in Customer Data Lake for audit readiness.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Escalations should follow the on-call rotation with a response target of 30 minutes.</w:t>
      </w:r>
    </w:p>
    <w:p>
      <w:pPr>
        <w:pStyle w:val="ListBullet"/>
      </w:pPr>
      <w:r>
        <w:t>All changes require peer review and validation in the Customer Data Lake before production promotion.</w:t>
      </w:r>
    </w:p>
    <w:p>
      <w:pPr>
        <w:pStyle w:val="Heading1"/>
      </w:pPr>
      <w:r>
        <w:t>Approval Workflow</w:t>
      </w:r>
    </w:p>
    <w:p>
      <w:r>
        <w:t>Systems are monitored via Kafka and alert routing in Google Workspace. Evidence artifacts are retained in Google Workspace for at least 36 months. Audit sampling occurs monthly and is summarized in leadership dashboards.</w:t>
      </w:r>
    </w:p>
    <w:p>
      <w:r>
        <w:t>Escalations should follow the on-call rotation with a response target of 30 minutes. Audit sampling occurs monthly and is summarized in leadership dashboards. All changes require peer review and validation in the Customer Data Lake before production promotion. Regional teams in EU follow the same policy with localized legal review.</w:t>
      </w:r>
    </w:p>
    <w:p>
      <w:pPr>
        <w:pStyle w:val="ListBullet"/>
      </w:pPr>
      <w:r>
        <w:t>Systems are monitored via Kafka and alert routing in Google Workspace.</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Evidence artifacts are retained in Google Workspace for at least 36 months.</w:t>
      </w:r>
    </w:p>
    <w:p>
      <w:pPr>
        <w:pStyle w:val="ListBullet"/>
      </w:pPr>
      <w:r>
        <w:t>Teams must log requests in Google Workspace and track outcomes in Customer Data Lake for audit readiness.</w:t>
      </w:r>
    </w:p>
    <w:p>
      <w:pPr>
        <w:pStyle w:val="Heading1"/>
      </w:pPr>
      <w:r>
        <w:t>Budget Controls</w:t>
      </w:r>
    </w:p>
    <w:p>
      <w:r>
        <w:t>Audit sampling occurs monthly and is summarized in leadership dashboards. Regional teams in EU follow the same policy with localized legal review. Audit sampling occurs monthly and is summarized in leadership dashboards.</w:t>
      </w:r>
    </w:p>
    <w:p>
      <w:r>
        <w:t>This document aligns with PCI DSS requirements and supports EU data residency expectations. All incidents are tagged with severity and mapped to service tiers.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The process integrates with Customer Data Lake and depends on Kafka for telemetry signals.</w:t>
      </w:r>
    </w:p>
    <w:p>
      <w:pPr>
        <w:pStyle w:val="Heading1"/>
      </w:pPr>
      <w:r>
        <w:t>Reporting</w:t>
      </w:r>
    </w:p>
    <w:p>
      <w:r>
        <w:t>All incidents are tagged with severity and mapped to service tiers. Evidence artifacts are retained in Google Workspace for at least 36 months. This document aligns with PCI DSS requirements and supports EU data residency expectations.</w:t>
      </w:r>
    </w:p>
    <w:p>
      <w:r>
        <w:t>The process integrates with Customer Data Lake and depends on Kafka for telemetry signals. Risk acceptance must be documented and revalidated each quarter. The Product team coordinates with Product Manager to maintain operational readiness. Regional teams in EU follow the same policy with localized legal review.</w:t>
      </w:r>
    </w:p>
    <w:p>
      <w:pPr>
        <w:pStyle w:val="ListBullet"/>
      </w:pPr>
      <w:r>
        <w:t>The Product organization uses Kafka to enforce consistent service baselines.</w:t>
      </w:r>
    </w:p>
    <w:p>
      <w:pPr>
        <w:pStyle w:val="ListBullet"/>
      </w:pPr>
      <w:r>
        <w:t>The Product team coordinates with Product Manager to maintain operational readiness.</w:t>
      </w:r>
    </w:p>
    <w:p>
      <w:pPr>
        <w:pStyle w:val="ListBullet"/>
      </w:pPr>
      <w:r>
        <w:t>This document aligns with PCI DSS requirements and supports EU data residency expectations.</w:t>
      </w:r>
    </w:p>
    <w:p>
      <w:pPr>
        <w:pStyle w:val="ListBullet"/>
      </w:pPr>
      <w:r>
        <w:t>Escalations should follow the on-call rotation with a response target of 30 minutes.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Product Manager</w:t>
            </w:r>
          </w:p>
        </w:tc>
        <w:tc>
          <w:tcPr>
            <w:tcW w:type="dxa" w:w="2880"/>
          </w:tcPr>
          <w:p>
            <w:r>
              <w:t>Planned</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Product Manager</w:t>
            </w:r>
          </w:p>
        </w:tc>
        <w:tc>
          <w:tcPr>
            <w:tcW w:type="dxa" w:w="2880"/>
          </w:tcPr>
          <w:p>
            <w:r>
              <w:t>In Progress</w:t>
            </w:r>
          </w:p>
        </w:tc>
      </w:tr>
    </w:tbl>
    <w:p>
      <w:pPr>
        <w:pStyle w:val="Heading1"/>
      </w:pPr>
      <w:r>
        <w:t>Audit Trail</w:t>
      </w:r>
    </w:p>
    <w:p>
      <w:r>
        <w:t>The Product organization uses Kafka to enforce consistent service baselines. Escalations should follow the on-call rotation with a response target of 30 minutes.</w:t>
      </w:r>
    </w:p>
    <w:p>
      <w:r>
        <w:t>Escalations should follow the on-call rotation with a response target of 30 minutes. Escalations should follow the on-call rotation with a response target of 30 minutes. Risk acceptance must be documented and revalidated each quarter. The process integrates with Customer Data Lake and depends on Kafka for telemetry signals.</w:t>
      </w:r>
    </w:p>
    <w:p>
      <w:pPr>
        <w:pStyle w:val="ListBullet"/>
      </w:pPr>
      <w:r>
        <w:t>This document aligns with PCI DSS requirements and supports EU data residency expectations.</w:t>
      </w:r>
    </w:p>
    <w:p>
      <w:pPr>
        <w:pStyle w:val="ListBullet"/>
      </w:pPr>
      <w:r>
        <w:t>Systems are monitored via Kafka and alert routing in Google Workspace.</w:t>
      </w:r>
    </w:p>
    <w:p>
      <w:pPr>
        <w:pStyle w:val="ListBullet"/>
      </w:pPr>
      <w:r>
        <w:t>The Product organization uses Kafka to enforce consistent service baselines.</w:t>
      </w:r>
    </w:p>
    <w:p>
      <w:pPr>
        <w:pStyle w:val="ListBullet"/>
      </w:pPr>
      <w:r>
        <w:t>The Product organization uses Kafka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