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Product US v2.0</w:t>
      </w:r>
    </w:p>
    <w:p>
      <w:r>
        <w:t>Department: Product</w:t>
      </w:r>
    </w:p>
    <w:p>
      <w:r>
        <w:t>Author: Casey Smith</w:t>
      </w:r>
    </w:p>
    <w:p>
      <w:r>
        <w:t>Created date: 2024-06-14</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Evidence artifacts are retained in Slack for at least 24 months. The process integrates with Ticketing Platform and depends on Kafka for telemetry signals.</w:t>
      </w:r>
    </w:p>
    <w:p>
      <w:r>
        <w:t>The process integrates with Ticketing Platform and depends on Kafka for telemetry signals. This document aligns with GDPR requirements and supports US data residency expectations.</w:t>
      </w:r>
    </w:p>
    <w:p>
      <w:pPr>
        <w:pStyle w:val="ListBullet"/>
      </w:pPr>
      <w:r>
        <w:t>Systems are monitored via Kafka and alert routing in Slack.</w:t>
      </w:r>
    </w:p>
    <w:p>
      <w:pPr>
        <w:pStyle w:val="ListBullet"/>
      </w:pPr>
      <w:r>
        <w:t>Regional teams in US follow the same policy with localized legal review.</w:t>
      </w:r>
    </w:p>
    <w:p>
      <w:pPr>
        <w:pStyle w:val="ListBullet"/>
      </w:pPr>
      <w:r>
        <w:t>The Product organization uses Kafka to enforce consistent service baselines.</w:t>
      </w:r>
    </w:p>
    <w:p>
      <w:pPr>
        <w:pStyle w:val="ListBullet"/>
      </w:pPr>
      <w:r>
        <w:t>Audit sampling occurs monthly and is summarized in leadership dashboards.</w:t>
      </w:r>
    </w:p>
    <w:p>
      <w:pPr>
        <w:pStyle w:val="Heading1"/>
      </w:pPr>
      <w:r>
        <w:t>Approval Workflow</w:t>
      </w:r>
    </w:p>
    <w:p>
      <w:r>
        <w:t>We prioritize customer impact, data integrity, and regulatory alignment. Risk acceptance must be documented and revalidated each quarter.</w:t>
      </w:r>
    </w:p>
    <w:p>
      <w:r>
        <w:t>Stakeholders include the Platform Engineer, service owner, and compliance lead for approvals. We prioritize customer impact, data integrity, and regulatory alignment.</w:t>
      </w:r>
    </w:p>
    <w:p>
      <w:pPr>
        <w:pStyle w:val="ListBullet"/>
      </w:pPr>
      <w:r>
        <w:t>Escalations should follow the on-call rotation with a response target of 15 minutes.</w:t>
      </w:r>
    </w:p>
    <w:p>
      <w:pPr>
        <w:pStyle w:val="ListBullet"/>
      </w:pPr>
      <w:r>
        <w:t>This document aligns with GDPR requirements and supports US data residency expectations.</w:t>
      </w:r>
    </w:p>
    <w:p>
      <w:pPr>
        <w:pStyle w:val="ListBullet"/>
      </w:pPr>
      <w:r>
        <w:t>Evidence artifacts are retained in Slack for at least 24 months.</w:t>
      </w:r>
    </w:p>
    <w:p>
      <w:pPr>
        <w:pStyle w:val="ListBullet"/>
      </w:pPr>
      <w:r>
        <w:t>The process integrates with Ticketing Platform and depends on Kafka for telemetry signals.</w:t>
      </w:r>
    </w:p>
    <w:p>
      <w:pPr>
        <w:pStyle w:val="ListBullet"/>
      </w:pPr>
      <w:r>
        <w:t>Regional teams in US follow the same policy with localized legal review.</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bl>
    <w:p>
      <w:pPr>
        <w:pStyle w:val="Heading1"/>
      </w:pPr>
      <w:r>
        <w:t>Budget Controls</w:t>
      </w:r>
    </w:p>
    <w:p>
      <w:r>
        <w:t>This document aligns with GDPR requirements and supports US data residency expectations. Regional teams in US follow the same policy with localized legal review. Evidence artifacts are retained in Slack for at least 24 months.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Risk acceptance must be documented and revalidated each quarter.</w:t>
      </w:r>
    </w:p>
    <w:p>
      <w:pPr>
        <w:pStyle w:val="Heading1"/>
      </w:pPr>
      <w:r>
        <w:t>Reporting</w:t>
      </w:r>
    </w:p>
    <w:p>
      <w:r>
        <w:t>Audit sampling occurs monthly and is summarized in leadership dashboards. Teams must log requests in Slack and track outcomes in Ticketing Platform for audit readiness.</w:t>
      </w:r>
    </w:p>
    <w:p>
      <w:r>
        <w:t>We prioritize customer impact, data integrity, and regulatory alignment. The process integrates with Ticketing Platform and depends on Kafka for telemetry signals.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This document aligns with GDPR requirements and supports US data residency expectations.</w:t>
      </w:r>
    </w:p>
    <w:p>
      <w:pPr>
        <w:pStyle w:val="Heading1"/>
      </w:pPr>
      <w:r>
        <w:t>Audit Trail</w:t>
      </w:r>
    </w:p>
    <w:p>
      <w:r>
        <w:t>Escalations should follow the on-call rotation with a response target of 15 minutes. The Product organization uses Kafka to enforce consistent service baselines.</w:t>
      </w:r>
    </w:p>
    <w:p>
      <w:r>
        <w:t>The process integrates with Ticketing Platform and depends on Kafka for telemetry signals. Evidence artifacts are retained in Slack for at least 24 months.</w:t>
      </w:r>
    </w:p>
    <w:p>
      <w:pPr>
        <w:pStyle w:val="ListBullet"/>
      </w:pPr>
      <w:r>
        <w:t>All incidents are tagged with severity and mapped to service tiers.</w:t>
      </w:r>
    </w:p>
    <w:p>
      <w:pPr>
        <w:pStyle w:val="ListBullet"/>
      </w:pPr>
      <w:r>
        <w:t>Evidence artifacts are retained in Slack for at least 24 months.</w:t>
      </w:r>
    </w:p>
    <w:p>
      <w:pPr>
        <w:pStyle w:val="ListBullet"/>
      </w:pPr>
      <w:r>
        <w:t>We prioritize customer impact, data integrity, and regulatory alignment.</w:t>
      </w:r>
    </w:p>
    <w:p>
      <w:pPr>
        <w:pStyle w:val="ListBullet"/>
      </w:pPr>
      <w:r>
        <w:t>Stakeholders include the Platform Engineer,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