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Product US v1.1</w:t>
      </w:r>
    </w:p>
    <w:p>
      <w:r>
        <w:t>Department: Product</w:t>
      </w:r>
    </w:p>
    <w:p>
      <w:r>
        <w:t>Author: Avery Patel</w:t>
      </w:r>
    </w:p>
    <w:p>
      <w:r>
        <w:t>Created date: 2025-11-13</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We prioritize customer impact, data integrity, and regulatory alignment. This document aligns with SOC 2 requirements and supports US data residency expectations. We prioritize customer impact, data integrity, and regulatory alignment.</w:t>
      </w:r>
    </w:p>
    <w:p>
      <w:r>
        <w:t>Systems are monitored via Kubernetes and alert routing in Workday. Escalations should follow the on-call rotation with a response target of 15 minutes. Escalations should follow the on-call rotation with a response target of 15 minutes.</w:t>
      </w:r>
    </w:p>
    <w:p>
      <w:pPr>
        <w:pStyle w:val="ListBullet"/>
      </w:pPr>
      <w:r>
        <w:t>Systems are monitored via Kubernetes and alert routing in Workday.</w:t>
      </w:r>
    </w:p>
    <w:p>
      <w:pPr>
        <w:pStyle w:val="ListBullet"/>
      </w:pPr>
      <w:r>
        <w:t>The process integrates with Customer Data Lake and depends on Kubernetes for telemetry signals.</w:t>
      </w:r>
    </w:p>
    <w:p>
      <w:pPr>
        <w:pStyle w:val="ListBullet"/>
      </w:pPr>
      <w:r>
        <w:t>All changes require peer review and validation in the Customer Data Lake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Access review</w:t>
            </w:r>
          </w:p>
        </w:tc>
        <w:tc>
          <w:tcPr>
            <w:tcW w:type="dxa" w:w="2880"/>
          </w:tcPr>
          <w:p>
            <w:r>
              <w:t>Security</w:t>
            </w:r>
          </w:p>
        </w:tc>
        <w:tc>
          <w:tcPr>
            <w:tcW w:type="dxa" w:w="2880"/>
          </w:tcPr>
          <w:p>
            <w:r>
              <w:t>Blocked</w:t>
            </w:r>
          </w:p>
        </w:tc>
      </w:tr>
      <w:tr>
        <w:tc>
          <w:tcPr>
            <w:tcW w:type="dxa" w:w="2880"/>
          </w:tcPr>
          <w:p>
            <w:r>
              <w:t>Incident drill</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Blocked</w:t>
            </w:r>
          </w:p>
        </w:tc>
      </w:tr>
    </w:tbl>
    <w:p>
      <w:pPr>
        <w:pStyle w:val="Heading1"/>
      </w:pPr>
      <w:r>
        <w:t>Approval Workflow</w:t>
      </w:r>
    </w:p>
    <w:p>
      <w:r>
        <w:t>Teams must log requests in Workday and track outcomes in Customer Data Lake for audit readiness. The process integrates with Customer Data Lake and depends on Kubernetes for telemetry signals. The process integrates with Customer Data Lake and depends on Kubernetes for telemetry signals.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This document aligns with SOC 2 requirements and supports US data residency expectations.</w:t>
      </w:r>
    </w:p>
    <w:p>
      <w:pPr>
        <w:pStyle w:val="Heading1"/>
      </w:pPr>
      <w:r>
        <w:t>Budget Controls</w:t>
      </w:r>
    </w:p>
    <w:p>
      <w:r>
        <w:t>We prioritize customer impact, data integrity, and regulatory alignment. Risk acceptance must be documented and revalidated each quarter.</w:t>
      </w:r>
    </w:p>
    <w:p>
      <w:r>
        <w:t>Audit sampling occurs monthly and is summarized in leadership dashboards. This document aligns with SOC 2 requirements and supports US data residency expectations.</w:t>
      </w:r>
    </w:p>
    <w:p>
      <w:pPr>
        <w:pStyle w:val="ListBullet"/>
      </w:pPr>
      <w:r>
        <w:t>The Product team coordinates with Platform Engineer to maintain operational readiness.</w:t>
      </w:r>
    </w:p>
    <w:p>
      <w:pPr>
        <w:pStyle w:val="ListBullet"/>
      </w:pPr>
      <w:r>
        <w:t>Escalations should follow the on-call rotation with a response target of 15 minutes.</w:t>
      </w:r>
    </w:p>
    <w:p>
      <w:pPr>
        <w:pStyle w:val="ListBullet"/>
      </w:pPr>
      <w:r>
        <w:t>The process integrates with Customer Data Lake and depends on Kubernetes for telemetry signals.</w:t>
      </w:r>
    </w:p>
    <w:p>
      <w:pPr>
        <w:pStyle w:val="ListBullet"/>
      </w:pPr>
      <w:r>
        <w:t>Evidence artifacts are retained in Workday for at least 24 months.</w:t>
      </w:r>
    </w:p>
    <w:p>
      <w:pPr>
        <w:pStyle w:val="ListBullet"/>
      </w:pPr>
      <w:r>
        <w:t>Regional teams in US follow the same policy with localized legal review.</w:t>
      </w:r>
    </w:p>
    <w:p>
      <w:pPr>
        <w:pStyle w:val="ListBullet"/>
      </w:pPr>
      <w:r>
        <w:t>This document aligns with SOC 2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Complete</w:t>
            </w:r>
          </w:p>
        </w:tc>
      </w:tr>
      <w:tr>
        <w:tc>
          <w:tcPr>
            <w:tcW w:type="dxa" w:w="2880"/>
          </w:tcPr>
          <w:p>
            <w:r>
              <w:t>Access review</w:t>
            </w:r>
          </w:p>
        </w:tc>
        <w:tc>
          <w:tcPr>
            <w:tcW w:type="dxa" w:w="2880"/>
          </w:tcPr>
          <w:p>
            <w:r>
              <w:t>Operations</w:t>
            </w:r>
          </w:p>
        </w:tc>
        <w:tc>
          <w:tcPr>
            <w:tcW w:type="dxa" w:w="2880"/>
          </w:tcPr>
          <w:p>
            <w:r>
              <w:t>Blocked</w:t>
            </w:r>
          </w:p>
        </w:tc>
      </w:tr>
    </w:tbl>
    <w:p>
      <w:pPr>
        <w:pStyle w:val="Heading1"/>
      </w:pPr>
      <w:r>
        <w:t>Reporting</w:t>
      </w:r>
    </w:p>
    <w:p>
      <w:r>
        <w:t>The Product organization uses Kubernetes to enforce consistent service baselines. Stakeholders include the Platform Engineer, service owner, and compliance lead for approvals.</w:t>
      </w:r>
    </w:p>
    <w:p>
      <w:pPr>
        <w:pStyle w:val="ListBullet"/>
      </w:pPr>
      <w:r>
        <w:t>We prioritize customer impact, data integrity, and regulatory alignment.</w:t>
      </w:r>
    </w:p>
    <w:p>
      <w:pPr>
        <w:pStyle w:val="ListBullet"/>
      </w:pPr>
      <w:r>
        <w:t>The Product team coordinates with Platform Engineer to maintain operational readiness.</w:t>
      </w:r>
    </w:p>
    <w:p>
      <w:pPr>
        <w:pStyle w:val="ListBullet"/>
      </w:pPr>
      <w:r>
        <w:t>This document aligns with SOC 2 requirements and supports US data residency expectations.</w:t>
      </w:r>
    </w:p>
    <w:p>
      <w:pPr>
        <w:pStyle w:val="Heading1"/>
      </w:pPr>
      <w:r>
        <w:t>Audit Trail</w:t>
      </w:r>
    </w:p>
    <w:p>
      <w:r>
        <w:t>Regional teams in US follow the same policy with localized legal review. All changes require peer review and validation in the Customer Data Lake before production promotion. Stakeholders include the Platform Engineer, service owner, and compliance lead for approvals.</w:t>
      </w:r>
    </w:p>
    <w:p>
      <w:pPr>
        <w:pStyle w:val="ListBullet"/>
      </w:pPr>
      <w:r>
        <w:t>All changes require peer review and validation in the Customer Data Lake before production promotion.</w:t>
      </w:r>
    </w:p>
    <w:p>
      <w:pPr>
        <w:pStyle w:val="ListBullet"/>
      </w:pPr>
      <w:r>
        <w:t>Teams must log requests in Workday and track outcomes in Customer Data Lake for audit readiness.</w:t>
      </w:r>
    </w:p>
    <w:p>
      <w:pPr>
        <w:pStyle w:val="ListBullet"/>
      </w:pPr>
      <w:r>
        <w:t>Evidence artifacts are retained in Workday for at least 24 months.</w:t>
      </w:r>
    </w:p>
    <w:p>
      <w:pPr>
        <w:pStyle w:val="ListBullet"/>
      </w:pPr>
      <w:r>
        <w:t>Stakeholders include the Platform Engineer, service owner, and compliance lead for approvals.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Access review</w:t>
            </w:r>
          </w:p>
        </w:tc>
        <w:tc>
          <w:tcPr>
            <w:tcW w:type="dxa" w:w="2880"/>
          </w:tcPr>
          <w:p>
            <w:r>
              <w:t>Operations</w:t>
            </w:r>
          </w:p>
        </w:tc>
        <w:tc>
          <w:tcPr>
            <w:tcW w:type="dxa" w:w="2880"/>
          </w:tcPr>
          <w:p>
            <w:r>
              <w:t>Planned</w:t>
            </w:r>
          </w:p>
        </w:tc>
      </w:tr>
      <w:tr>
        <w:tc>
          <w:tcPr>
            <w:tcW w:type="dxa" w:w="2880"/>
          </w:tcPr>
          <w:p>
            <w:r>
              <w:t>Vendor check</w:t>
            </w:r>
          </w:p>
        </w:tc>
        <w:tc>
          <w:tcPr>
            <w:tcW w:type="dxa" w:w="2880"/>
          </w:tcPr>
          <w:p>
            <w:r>
              <w:t>Product</w:t>
            </w:r>
          </w:p>
        </w:tc>
        <w:tc>
          <w:tcPr>
            <w:tcW w:type="dxa" w:w="2880"/>
          </w:tcPr>
          <w:p>
            <w:r>
              <w:t>Complete</w:t>
            </w:r>
          </w:p>
        </w:tc>
      </w:tr>
      <w:tr>
        <w:tc>
          <w:tcPr>
            <w:tcW w:type="dxa" w:w="2880"/>
          </w:tcPr>
          <w:p>
            <w:r>
              <w:t>Patch window</w:t>
            </w:r>
          </w:p>
        </w:tc>
        <w:tc>
          <w:tcPr>
            <w:tcW w:type="dxa" w:w="2880"/>
          </w:tcPr>
          <w:p>
            <w:r>
              <w:t>Product</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