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Compliance APAC v1.0</w:t>
      </w:r>
    </w:p>
    <w:p>
      <w:r>
        <w:t>Department: Compliance</w:t>
      </w:r>
    </w:p>
    <w:p>
      <w:r>
        <w:t>Author: Morgan Lee</w:t>
      </w:r>
    </w:p>
    <w:p>
      <w:r>
        <w:t>Created date: 2024-03-19</w:t>
      </w:r>
    </w:p>
    <w:p>
      <w:r>
        <w:t>Region: APAC</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Regional teams in APAC follow the same policy with localized legal review. The Compliance organization uses GCP to enforce consistent service baselines. Escalations should follow the on-call rotation with a response target of 15 minutes.</w:t>
      </w:r>
    </w:p>
    <w:p>
      <w:r>
        <w:t>Risk acceptance must be documented and revalidated each quarter. Teams must log requests in Microsoft 365 and track outcomes in Identity Access Gateway for audit readiness. Evidence artifacts are retained in Microsoft 365 for at least 12 months. Escalations should follow the on-call rotation with a response target of 15 minutes.</w:t>
      </w:r>
    </w:p>
    <w:p>
      <w:pPr>
        <w:pStyle w:val="ListBullet"/>
      </w:pPr>
      <w:r>
        <w:t>We prioritize customer impact, data integrity, and regulatory alignment.</w:t>
      </w:r>
    </w:p>
    <w:p>
      <w:pPr>
        <w:pStyle w:val="ListBullet"/>
      </w:pPr>
      <w:r>
        <w:t>Evidence artifacts are retained in Microsoft 365 for at least 12 months.</w:t>
      </w:r>
    </w:p>
    <w:p>
      <w:pPr>
        <w:pStyle w:val="ListBullet"/>
      </w:pPr>
      <w:r>
        <w:t>Escalations should follow the on-call rotation with a response target of 15 minutes.</w:t>
      </w:r>
    </w:p>
    <w:p>
      <w:pPr>
        <w:pStyle w:val="ListBullet"/>
      </w:pPr>
      <w:r>
        <w:t>Risk acceptance must be documented and revalidated each quarter.</w:t>
      </w:r>
    </w:p>
    <w:p>
      <w:pPr>
        <w:pStyle w:val="ListBullet"/>
      </w:pPr>
      <w:r>
        <w:t>The Compliance organization uses GCP to enforce consistent service baselines.</w:t>
      </w:r>
    </w:p>
    <w:p>
      <w:pPr>
        <w:pStyle w:val="Heading1"/>
      </w:pPr>
      <w:r>
        <w:t>Eligibility</w:t>
      </w:r>
    </w:p>
    <w:p>
      <w:r>
        <w:t>The Compliance team coordinates with SRE to maintain operational readiness. This document aligns with SOX requirements and supports APAC data residency expectations. Teams must log requests in Microsoft 365 and track outcomes in Identity Access Gateway for audit readiness. All incidents are tagged with severity and mapped to service tiers.</w:t>
      </w:r>
    </w:p>
    <w:p>
      <w:r>
        <w:t>All changes require peer review and validation in the Identity Access Gateway before production promotion. We prioritize customer impact, data integrity, and regulatory alignment.</w:t>
      </w:r>
    </w:p>
    <w:p>
      <w:pPr>
        <w:pStyle w:val="ListBullet"/>
      </w:pPr>
      <w:r>
        <w:t>The process integrates with Identity Access Gateway and depends on GCP for telemetry signals.</w:t>
      </w:r>
    </w:p>
    <w:p>
      <w:pPr>
        <w:pStyle w:val="ListBullet"/>
      </w:pPr>
      <w:r>
        <w:t>Stakeholders include the SRE, service owner, and compliance lead for approvals.</w:t>
      </w:r>
    </w:p>
    <w:p>
      <w:pPr>
        <w:pStyle w:val="ListBullet"/>
      </w:pPr>
      <w:r>
        <w:t>Systems are monitored via GCP and alert routing in Microsoft 365.</w:t>
      </w:r>
    </w:p>
    <w:p>
      <w:pPr>
        <w:pStyle w:val="ListBullet"/>
      </w:pPr>
      <w:r>
        <w:t>Escalations should follow the on-call rotation with a response target of 15 minutes.</w:t>
      </w:r>
    </w:p>
    <w:p>
      <w:pPr>
        <w:pStyle w:val="ListBullet"/>
      </w:pPr>
      <w:r>
        <w:t>Stakeholders include the SRE, service owner, and compliance lead for approvals.</w:t>
      </w:r>
    </w:p>
    <w:p>
      <w:pPr>
        <w:pStyle w:val="Heading1"/>
      </w:pPr>
      <w:r>
        <w:t>Policy Requirements</w:t>
      </w:r>
    </w:p>
    <w:p>
      <w:r>
        <w:t>Risk acceptance must be documented and revalidated each quarter. The process integrates with Identity Access Gateway and depends on GCP for telemetry signals. Teams must log requests in Microsoft 365 and track outcomes in Identity Access Gateway for audit readiness. The process integrates with Identity Access Gateway and depends on GCP for telemetry signals.</w:t>
      </w:r>
    </w:p>
    <w:p>
      <w:r>
        <w:t>The process integrates with Identity Access Gateway and depends on GCP for telemetry signals. Risk acceptance must be documented and revalidated each quarter.</w:t>
      </w:r>
    </w:p>
    <w:p>
      <w:pPr>
        <w:pStyle w:val="ListBullet"/>
      </w:pPr>
      <w:r>
        <w:t>The Compliance team coordinates with SRE to maintain operational readiness.</w:t>
      </w:r>
    </w:p>
    <w:p>
      <w:pPr>
        <w:pStyle w:val="ListBullet"/>
      </w:pPr>
      <w:r>
        <w:t>This document aligns with SOX requirements and supports APAC data residency expectations.</w:t>
      </w:r>
    </w:p>
    <w:p>
      <w:pPr>
        <w:pStyle w:val="ListBullet"/>
      </w:pPr>
      <w:r>
        <w:t>Audit sampling occurs monthly and is summarized in leadership dashboards.</w:t>
      </w:r>
    </w:p>
    <w:p>
      <w:pPr>
        <w:pStyle w:val="ListBullet"/>
      </w:pPr>
      <w:r>
        <w:t>The Compliance team coordinates with SRE to maintain operational readiness.</w:t>
      </w:r>
    </w:p>
    <w:p>
      <w:pPr>
        <w:pStyle w:val="ListBullet"/>
      </w:pPr>
      <w:r>
        <w:t>Escalations should follow the on-call rotation with a response target of 15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Complete</w:t>
            </w:r>
          </w:p>
        </w:tc>
      </w:tr>
      <w:tr>
        <w:tc>
          <w:tcPr>
            <w:tcW w:type="dxa" w:w="2880"/>
          </w:tcPr>
          <w:p>
            <w:r>
              <w:t>Access review</w:t>
            </w:r>
          </w:p>
        </w:tc>
        <w:tc>
          <w:tcPr>
            <w:tcW w:type="dxa" w:w="2880"/>
          </w:tcPr>
          <w:p>
            <w:r>
              <w:t>Operations</w:t>
            </w:r>
          </w:p>
        </w:tc>
        <w:tc>
          <w:tcPr>
            <w:tcW w:type="dxa" w:w="2880"/>
          </w:tcPr>
          <w:p>
            <w:r>
              <w:t>Complete</w:t>
            </w:r>
          </w:p>
        </w:tc>
      </w:tr>
      <w:tr>
        <w:tc>
          <w:tcPr>
            <w:tcW w:type="dxa" w:w="2880"/>
          </w:tcPr>
          <w:p>
            <w:r>
              <w:t>Incident drill</w:t>
            </w:r>
          </w:p>
        </w:tc>
        <w:tc>
          <w:tcPr>
            <w:tcW w:type="dxa" w:w="2880"/>
          </w:tcPr>
          <w:p>
            <w:r>
              <w:t>Operations</w:t>
            </w:r>
          </w:p>
        </w:tc>
        <w:tc>
          <w:tcPr>
            <w:tcW w:type="dxa" w:w="2880"/>
          </w:tcPr>
          <w:p>
            <w:r>
              <w:t>Complete</w:t>
            </w:r>
          </w:p>
        </w:tc>
      </w:tr>
    </w:tbl>
    <w:p>
      <w:pPr>
        <w:pStyle w:val="Heading1"/>
      </w:pPr>
      <w:r>
        <w:t>Process</w:t>
      </w:r>
    </w:p>
    <w:p>
      <w:r>
        <w:t>Stakeholders include the SRE, service owner, and compliance lead for approvals. Evidence artifacts are retained in Microsoft 365 for at least 12 months.</w:t>
      </w:r>
    </w:p>
    <w:p>
      <w:pPr>
        <w:pStyle w:val="ListBullet"/>
      </w:pPr>
      <w:r>
        <w:t>Regional teams in APAC follow the same policy with localized legal review.</w:t>
      </w:r>
    </w:p>
    <w:p>
      <w:pPr>
        <w:pStyle w:val="ListBullet"/>
      </w:pPr>
      <w:r>
        <w:t>The Compliance team coordinates with SRE to maintain operational readiness.</w:t>
      </w:r>
    </w:p>
    <w:p>
      <w:pPr>
        <w:pStyle w:val="ListBullet"/>
      </w:pPr>
      <w:r>
        <w:t>Systems are monitored via GCP and alert routing in Microsoft 365.</w:t>
      </w:r>
    </w:p>
    <w:p>
      <w:pPr>
        <w:pStyle w:val="Heading1"/>
      </w:pPr>
      <w:r>
        <w:t>Exceptions and Escalation</w:t>
      </w:r>
    </w:p>
    <w:p>
      <w:r>
        <w:t>Evidence artifacts are retained in Microsoft 365 for at least 12 months. Audit sampling occurs monthly and is summarized in leadership dashboards.</w:t>
      </w:r>
    </w:p>
    <w:p>
      <w:pPr>
        <w:pStyle w:val="ListBullet"/>
      </w:pPr>
      <w:r>
        <w:t>Evidence artifacts are retained in Microsoft 365 for at least 12 months.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This document aligns with SOX requirements and supports APAC data residency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