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Compliance EU v1.2</w:t>
      </w:r>
    </w:p>
    <w:p>
      <w:r>
        <w:t>Department: Compliance</w:t>
      </w:r>
    </w:p>
    <w:p>
      <w:r>
        <w:t>Author: Avery Garcia</w:t>
      </w:r>
    </w:p>
    <w:p>
      <w:r>
        <w:t>Created date: 2024-10-01</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This document aligns with SOX requirements and supports EU data residency expectations. This document aligns with SOX requirements and supports EU data residency expectations. The Compliance team coordinates with HR Business Partner to maintain operational readiness.</w:t>
      </w:r>
    </w:p>
    <w:p>
      <w:r>
        <w:t>All changes require peer review and validation in the Ticketing Platform before production promotion. Stakeholders include the HR Business Partner, service owner, and compliance lead for approvals.</w:t>
      </w:r>
    </w:p>
    <w:p>
      <w:pPr>
        <w:pStyle w:val="ListBullet"/>
      </w:pPr>
      <w:r>
        <w:t>The Compliance organization uses Prometheus to enforce consistent service baselines.</w:t>
      </w:r>
    </w:p>
    <w:p>
      <w:pPr>
        <w:pStyle w:val="ListBullet"/>
      </w:pPr>
      <w:r>
        <w:t>The process integrates with Ticketing Platform and depends on Prometheus for telemetry signals.</w:t>
      </w:r>
    </w:p>
    <w:p>
      <w:pPr>
        <w:pStyle w:val="ListBullet"/>
      </w:pPr>
      <w:r>
        <w:t>The Compliance organization uses Prometheus to enforce consistent service baselines.</w:t>
      </w:r>
    </w:p>
    <w:p>
      <w:pPr>
        <w:pStyle w:val="ListBullet"/>
      </w:pPr>
      <w:r>
        <w:t>The Compliance organization uses Prometheus to enforce consistent service baselines.</w:t>
      </w:r>
    </w:p>
    <w:p>
      <w:pPr>
        <w:pStyle w:val="ListBullet"/>
      </w:pPr>
      <w:r>
        <w:t>The Compliance team coordinates with HR Business Partner to maintain operational readiness.</w:t>
      </w:r>
    </w:p>
    <w:p>
      <w:pPr>
        <w:pStyle w:val="ListBullet"/>
      </w:pPr>
      <w:r>
        <w:t>All incidents are tagged with severity and mapped to service tiers.</w:t>
      </w:r>
    </w:p>
    <w:p>
      <w:pPr>
        <w:pStyle w:val="Heading1"/>
      </w:pPr>
      <w:r>
        <w:t>Eligibility</w:t>
      </w:r>
    </w:p>
    <w:p>
      <w:r>
        <w:t>Regional teams in EU follow the same policy with localized legal review. Teams must log requests in Microsoft 365 and track outcomes in Ticketing Platform for audit readiness.</w:t>
      </w:r>
    </w:p>
    <w:p>
      <w:pPr>
        <w:pStyle w:val="ListBullet"/>
      </w:pPr>
      <w:r>
        <w:t>All changes require peer review and validation in the Ticketing Platform before production promotion.</w:t>
      </w:r>
    </w:p>
    <w:p>
      <w:pPr>
        <w:pStyle w:val="ListBullet"/>
      </w:pPr>
      <w:r>
        <w:t>Risk acceptance must be documented and revalidated each quarter.</w:t>
      </w:r>
    </w:p>
    <w:p>
      <w:pPr>
        <w:pStyle w:val="ListBullet"/>
      </w:pPr>
      <w:r>
        <w:t>All changes require peer review and validation in the Ticketing Platform before production promotion.</w:t>
      </w:r>
    </w:p>
    <w:p>
      <w:pPr>
        <w:pStyle w:val="ListBullet"/>
      </w:pPr>
      <w:r>
        <w:t>Risk acceptance must be documented and revalidated each quarter.</w:t>
      </w:r>
    </w:p>
    <w:p>
      <w:pPr>
        <w:pStyle w:val="ListBullet"/>
      </w:pPr>
      <w:r>
        <w:t>Systems are monitored via Prometheus and alert routing in Microsoft 365.</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HR Business Partner</w:t>
            </w:r>
          </w:p>
        </w:tc>
        <w:tc>
          <w:tcPr>
            <w:tcW w:type="dxa" w:w="2880"/>
          </w:tcPr>
          <w:p>
            <w:r>
              <w:t>Complete</w:t>
            </w:r>
          </w:p>
        </w:tc>
      </w:tr>
      <w:tr>
        <w:tc>
          <w:tcPr>
            <w:tcW w:type="dxa" w:w="2880"/>
          </w:tcPr>
          <w:p>
            <w:r>
              <w:t>Incident drill</w:t>
            </w:r>
          </w:p>
        </w:tc>
        <w:tc>
          <w:tcPr>
            <w:tcW w:type="dxa" w:w="2880"/>
          </w:tcPr>
          <w:p>
            <w:r>
              <w:t>Compliance</w:t>
            </w:r>
          </w:p>
        </w:tc>
        <w:tc>
          <w:tcPr>
            <w:tcW w:type="dxa" w:w="2880"/>
          </w:tcPr>
          <w:p>
            <w:r>
              <w:t>In Progress</w:t>
            </w:r>
          </w:p>
        </w:tc>
      </w:tr>
      <w:tr>
        <w:tc>
          <w:tcPr>
            <w:tcW w:type="dxa" w:w="2880"/>
          </w:tcPr>
          <w:p>
            <w:r>
              <w:t>Patch window</w:t>
            </w:r>
          </w:p>
        </w:tc>
        <w:tc>
          <w:tcPr>
            <w:tcW w:type="dxa" w:w="2880"/>
          </w:tcPr>
          <w:p>
            <w:r>
              <w:t>Security</w:t>
            </w:r>
          </w:p>
        </w:tc>
        <w:tc>
          <w:tcPr>
            <w:tcW w:type="dxa" w:w="2880"/>
          </w:tcPr>
          <w:p>
            <w:r>
              <w:t>Complete</w:t>
            </w:r>
          </w:p>
        </w:tc>
      </w:tr>
    </w:tbl>
    <w:p>
      <w:pPr>
        <w:pStyle w:val="Heading1"/>
      </w:pPr>
      <w:r>
        <w:t>Policy Requirements</w:t>
      </w:r>
    </w:p>
    <w:p>
      <w:r>
        <w:t>The Compliance team coordinates with HR Business Partner to maintain operational readiness. The Compliance organization uses Prometheus to enforce consistent service baselines.</w:t>
      </w:r>
    </w:p>
    <w:p>
      <w:r>
        <w:t>The Compliance team coordinates with HR Business Partner to maintain operational readiness. Teams must log requests in Microsoft 365 and track outcomes in Ticketing Platform for audit readiness.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Systems are monitored via Prometheus and alert routing in Microsoft 365.</w:t>
      </w:r>
    </w:p>
    <w:p>
      <w:pPr>
        <w:pStyle w:val="ListBullet"/>
      </w:pPr>
      <w:r>
        <w:t>Audit sampling occurs monthly and is summarized in leadership dashboards.</w:t>
      </w:r>
    </w:p>
    <w:p>
      <w:pPr>
        <w:pStyle w:val="ListBullet"/>
      </w:pPr>
      <w:r>
        <w:t>The Compliance organization uses Prometheus to enforce consistent service baselines.</w:t>
      </w:r>
    </w:p>
    <w:p>
      <w:pPr>
        <w:pStyle w:val="ListBullet"/>
      </w:pPr>
      <w:r>
        <w:t>Teams must log requests in Microsoft 365 and track outcomes in Ticketing Platform for audit readiness.</w:t>
      </w:r>
    </w:p>
    <w:p>
      <w:pPr>
        <w:pStyle w:val="Heading1"/>
      </w:pPr>
      <w:r>
        <w:t>Process</w:t>
      </w:r>
    </w:p>
    <w:p>
      <w:r>
        <w:t>We prioritize customer impact, data integrity, and regulatory alignment. Evidence artifacts are retained in Microsoft 365 for at least 36 months. All incidents are tagged with severity and mapped to service tiers.</w:t>
      </w:r>
    </w:p>
    <w:p>
      <w:r>
        <w:t>Systems are monitored via Prometheus and alert routing in Microsoft 365. The Compliance organization uses Prometheus to enforce consistent service baselines. Systems are monitored via Prometheus and alert routing in Microsoft 365.</w:t>
      </w:r>
    </w:p>
    <w:p>
      <w:pPr>
        <w:pStyle w:val="ListBullet"/>
      </w:pPr>
      <w:r>
        <w:t>We prioritize customer impact, data integrity, and regulatory alignment.</w:t>
      </w:r>
    </w:p>
    <w:p>
      <w:pPr>
        <w:pStyle w:val="ListBullet"/>
      </w:pPr>
      <w:r>
        <w:t>All changes require peer review and validation in the Ticketing Platform before production promotion.</w:t>
      </w:r>
    </w:p>
    <w:p>
      <w:pPr>
        <w:pStyle w:val="ListBullet"/>
      </w:pPr>
      <w:r>
        <w:t>Risk acceptance must be documented and revalidated each quarter.</w:t>
      </w:r>
    </w:p>
    <w:p>
      <w:pPr>
        <w:pStyle w:val="ListBullet"/>
      </w:pPr>
      <w:r>
        <w:t>The Compliance organization uses Prometheus to enforce consistent service baselines.</w:t>
      </w:r>
    </w:p>
    <w:p>
      <w:pPr>
        <w:pStyle w:val="ListBullet"/>
      </w:pPr>
      <w:r>
        <w:t>The Compliance organization uses Prometheus to enforce consistent service baselines.</w:t>
      </w:r>
    </w:p>
    <w:p>
      <w:pPr>
        <w:pStyle w:val="Heading1"/>
      </w:pPr>
      <w:r>
        <w:t>Exceptions and Escalation</w:t>
      </w:r>
    </w:p>
    <w:p>
      <w:r>
        <w:t>Risk acceptance must be documented and revalidated each quarter. Systems are monitored via Prometheus and alert routing in Microsoft 365.</w:t>
      </w:r>
    </w:p>
    <w:p>
      <w:r>
        <w:t>The process integrates with Ticketing Platform and depends on Prometheus for telemetry signals. We prioritize customer impact, data integrity, and regulatory alignment. Systems are monitored via Prometheus and alert routing in Microsoft 365. Systems are monitored via Prometheus and alert routing in Microsoft 365.</w:t>
      </w:r>
    </w:p>
    <w:p>
      <w:pPr>
        <w:pStyle w:val="ListBullet"/>
      </w:pPr>
      <w:r>
        <w:t>We prioritize customer impact, data integrity, and regulatory alignment.</w:t>
      </w:r>
    </w:p>
    <w:p>
      <w:pPr>
        <w:pStyle w:val="ListBullet"/>
      </w:pPr>
      <w:r>
        <w:t>This document aligns with SOX requirements and supports EU data residency expectations.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Risk acceptance must be documented and revalidated each quarter.</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Patch window</w:t>
            </w:r>
          </w:p>
        </w:tc>
        <w:tc>
          <w:tcPr>
            <w:tcW w:type="dxa" w:w="2880"/>
          </w:tcPr>
          <w:p>
            <w:r>
              <w:t>Security</w:t>
            </w:r>
          </w:p>
        </w:tc>
        <w:tc>
          <w:tcPr>
            <w:tcW w:type="dxa" w:w="2880"/>
          </w:tcPr>
          <w:p>
            <w:r>
              <w:t>Planned</w:t>
            </w:r>
          </w:p>
        </w:tc>
      </w:tr>
      <w:tr>
        <w:tc>
          <w:tcPr>
            <w:tcW w:type="dxa" w:w="2880"/>
          </w:tcPr>
          <w:p>
            <w:r>
              <w:t>Access review</w:t>
            </w:r>
          </w:p>
        </w:tc>
        <w:tc>
          <w:tcPr>
            <w:tcW w:type="dxa" w:w="2880"/>
          </w:tcPr>
          <w:p>
            <w:r>
              <w:t>Security</w:t>
            </w:r>
          </w:p>
        </w:tc>
        <w:tc>
          <w:tcPr>
            <w:tcW w:type="dxa" w:w="2880"/>
          </w:tcPr>
          <w:p>
            <w:r>
              <w:t>Planned</w:t>
            </w:r>
          </w:p>
        </w:tc>
      </w:tr>
      <w:tr>
        <w:tc>
          <w:tcPr>
            <w:tcW w:type="dxa" w:w="2880"/>
          </w:tcPr>
          <w:p>
            <w:r>
              <w:t>Incident drill</w:t>
            </w:r>
          </w:p>
        </w:tc>
        <w:tc>
          <w:tcPr>
            <w:tcW w:type="dxa" w:w="2880"/>
          </w:tcPr>
          <w:p>
            <w:r>
              <w:t>Compliance</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