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Customer Support APAC v1.0</w:t>
      </w:r>
    </w:p>
    <w:p>
      <w:r>
        <w:t>Department: Customer Support</w:t>
      </w:r>
    </w:p>
    <w:p>
      <w:r>
        <w:t>Author: Avery Smith</w:t>
      </w:r>
    </w:p>
    <w:p>
      <w:r>
        <w:t>Created date: 2024-04-26</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This document aligns with HIPAA requirements and supports APAC data residency expectations. Evidence artifacts are retained in Microsoft 365 for at least 24 months.</w:t>
      </w:r>
    </w:p>
    <w:p>
      <w:r>
        <w:t>Audit sampling occurs monthly and is summarized in leadership dashboards. This document aligns with HIPAA requirements and supports APAC data residency expectations.</w:t>
      </w:r>
    </w:p>
    <w:p>
      <w:pPr>
        <w:pStyle w:val="ListBullet"/>
      </w:pPr>
      <w:r>
        <w:t>This document aligns with HIPAA requirements and supports APAC data residency expectations.</w:t>
      </w:r>
    </w:p>
    <w:p>
      <w:pPr>
        <w:pStyle w:val="ListBullet"/>
      </w:pPr>
      <w:r>
        <w:t>Evidence artifacts are retained in Microsoft 365 for at least 24 months.</w:t>
      </w:r>
    </w:p>
    <w:p>
      <w:pPr>
        <w:pStyle w:val="ListBullet"/>
      </w:pPr>
      <w:r>
        <w:t>The process integrates with Endpoint Management and depends on Kubernetes for telemetry signals.</w:t>
      </w:r>
    </w:p>
    <w:p>
      <w:pPr>
        <w:pStyle w:val="ListBullet"/>
      </w:pPr>
      <w:r>
        <w:t>Evidence artifacts are retained in Microsoft 365 for at least 24 months.</w:t>
      </w:r>
    </w:p>
    <w:p>
      <w:pPr>
        <w:pStyle w:val="ListBullet"/>
      </w:pPr>
      <w:r>
        <w:t>Audit sampling occurs monthly and is summarized in leadership dashboards.</w:t>
      </w:r>
    </w:p>
    <w:p>
      <w:pPr>
        <w:pStyle w:val="Heading1"/>
      </w:pPr>
      <w:r>
        <w:t>Eligibility</w:t>
      </w:r>
    </w:p>
    <w:p>
      <w:r>
        <w:t>The process integrates with Endpoint Management and depends on Kubernetes for telemetry signals. The Customer Support organization uses Kubernetes to enforce consistent service baselines. The process integrates with Endpoint Management and depends on Kubernetes for telemetry signals. Stakeholders include the Compliance Manager, service owner, and compliance lead for approvals.</w:t>
      </w:r>
    </w:p>
    <w:p>
      <w:r>
        <w:t>Escalations should follow the on-call rotation with a response target of 45 minutes. All changes require peer review and validation in the Endpoint Management before production promotion. This document aligns with HIPAA requirements and supports APAC data residency expectations.</w:t>
      </w:r>
    </w:p>
    <w:p>
      <w:pPr>
        <w:pStyle w:val="ListBullet"/>
      </w:pPr>
      <w:r>
        <w:t>Teams must log requests in Microsoft 365 and track outcomes in Endpoint Management for audit readiness.</w:t>
      </w:r>
    </w:p>
    <w:p>
      <w:pPr>
        <w:pStyle w:val="ListBullet"/>
      </w:pPr>
      <w:r>
        <w:t>All changes require peer review and validation in the Endpoint Management before production promotion.</w:t>
      </w:r>
    </w:p>
    <w:p>
      <w:pPr>
        <w:pStyle w:val="ListBullet"/>
      </w:pPr>
      <w:r>
        <w:t>Stakeholders include the Compliance Manager, service owner, and compliance lead for approvals.</w:t>
      </w:r>
    </w:p>
    <w:p>
      <w:pPr>
        <w:pStyle w:val="ListBullet"/>
      </w:pPr>
      <w:r>
        <w:t>The process integrates with Endpoint Management and depends on Kubernetes for telemetry signals.</w:t>
      </w:r>
    </w:p>
    <w:p>
      <w:pPr>
        <w:pStyle w:val="Heading1"/>
      </w:pPr>
      <w:r>
        <w:t>Policy Requirements</w:t>
      </w:r>
    </w:p>
    <w:p>
      <w:r>
        <w:t>The Customer Support team coordinates with Compliance Manager to maintain operational readiness. Systems are monitored via Kubernetes and alert routing in Microsoft 365. Regional teams in APAC follow the same policy with localized legal review.</w:t>
      </w:r>
    </w:p>
    <w:p>
      <w:r>
        <w:t>Teams must log requests in Microsoft 365 and track outcomes in Endpoint Management for audit readiness. The Customer Support team coordinates with Compliance Manager to maintain operational readiness. Evidence artifacts are retained in Microsoft 365 for at least 24 months. The Customer Support organization uses Kubernetes to enforce consistent service baselines.</w:t>
      </w:r>
    </w:p>
    <w:p>
      <w:pPr>
        <w:pStyle w:val="ListBullet"/>
      </w:pPr>
      <w:r>
        <w:t>The process integrates with Endpoint Management and depends on Kubernetes for telemetry signals.</w:t>
      </w:r>
    </w:p>
    <w:p>
      <w:pPr>
        <w:pStyle w:val="ListBullet"/>
      </w:pPr>
      <w:r>
        <w:t>The process integrates with Endpoint Management and depends on Kubernetes for telemetry signals.</w:t>
      </w:r>
    </w:p>
    <w:p>
      <w:pPr>
        <w:pStyle w:val="ListBullet"/>
      </w:pPr>
      <w:r>
        <w:t>Teams must log requests in Microsoft 365 and track outcomes in Endpoint Management for audit readiness.</w:t>
      </w:r>
    </w:p>
    <w:p>
      <w:pPr>
        <w:pStyle w:val="ListBullet"/>
      </w:pPr>
      <w:r>
        <w:t>Systems are monitored via Kubernetes and alert routing in Microsoft 365.</w:t>
      </w:r>
    </w:p>
    <w:p>
      <w:pPr>
        <w:pStyle w:val="Heading1"/>
      </w:pPr>
      <w:r>
        <w:t>Process</w:t>
      </w:r>
    </w:p>
    <w:p>
      <w:r>
        <w:t>This document aligns with HIPAA requirements and supports APAC data residency expectations. Escalations should follow the on-call rotation with a response target of 45 minutes. Teams must log requests in Microsoft 365 and track outcomes in Endpoint Management for audit readiness.</w:t>
      </w:r>
    </w:p>
    <w:p>
      <w:pPr>
        <w:pStyle w:val="ListBullet"/>
      </w:pPr>
      <w:r>
        <w:t>All changes require peer review and validation in the Endpoint Management before production promotion.</w:t>
      </w:r>
    </w:p>
    <w:p>
      <w:pPr>
        <w:pStyle w:val="ListBullet"/>
      </w:pPr>
      <w:r>
        <w:t>Audit sampling occurs monthly and is summarized in leadership dashboards.</w:t>
      </w:r>
    </w:p>
    <w:p>
      <w:pPr>
        <w:pStyle w:val="ListBullet"/>
      </w:pPr>
      <w:r>
        <w:t>Evidence artifacts are retained in Microsoft 365 for at least 24 months.</w:t>
      </w:r>
    </w:p>
    <w:p>
      <w:pPr>
        <w:pStyle w:val="ListBullet"/>
      </w:pPr>
      <w:r>
        <w:t>All changes require peer review and validation in the Endpoint Management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 Manager</w:t>
            </w:r>
          </w:p>
        </w:tc>
        <w:tc>
          <w:tcPr>
            <w:tcW w:type="dxa" w:w="2880"/>
          </w:tcPr>
          <w:p>
            <w:r>
              <w:t>Planned</w:t>
            </w:r>
          </w:p>
        </w:tc>
      </w:tr>
      <w:tr>
        <w:tc>
          <w:tcPr>
            <w:tcW w:type="dxa" w:w="2880"/>
          </w:tcPr>
          <w:p>
            <w:r>
              <w:t>Patch window</w:t>
            </w:r>
          </w:p>
        </w:tc>
        <w:tc>
          <w:tcPr>
            <w:tcW w:type="dxa" w:w="2880"/>
          </w:tcPr>
          <w:p>
            <w:r>
              <w:t>Security</w:t>
            </w:r>
          </w:p>
        </w:tc>
        <w:tc>
          <w:tcPr>
            <w:tcW w:type="dxa" w:w="2880"/>
          </w:tcPr>
          <w:p>
            <w:r>
              <w:t>Blocked</w:t>
            </w:r>
          </w:p>
        </w:tc>
      </w:tr>
    </w:tbl>
    <w:p>
      <w:pPr>
        <w:pStyle w:val="Heading1"/>
      </w:pPr>
      <w:r>
        <w:t>Exceptions and Escalation</w:t>
      </w:r>
    </w:p>
    <w:p>
      <w:r>
        <w:t>Teams must log requests in Microsoft 365 and track outcomes in Endpoint Management for audit readiness. Risk acceptance must be documented and revalidated each quarter. Audit sampling occurs monthly and is summarized in leadership dashboards. Escalations should follow the on-call rotation with a response target of 45 minutes.</w:t>
      </w:r>
    </w:p>
    <w:p>
      <w:r>
        <w:t>Evidence artifacts are retained in Microsoft 365 for at least 24 months. Teams must log requests in Microsoft 365 and track outcomes in Endpoint Management for audit readiness.</w:t>
      </w:r>
    </w:p>
    <w:p>
      <w:pPr>
        <w:pStyle w:val="ListBullet"/>
      </w:pPr>
      <w:r>
        <w:t>Stakeholders include the Compliance Manager, service owner, and compliance lead for approvals.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The Customer Support organization uses Kubernetes to enforce consistent service baselines.</w:t>
      </w:r>
    </w:p>
    <w:p>
      <w:pPr>
        <w:pStyle w:val="ListBullet"/>
      </w:pPr>
      <w:r>
        <w:t>The Customer Support organization uses Kubernetes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Compliance Manager</w:t>
            </w:r>
          </w:p>
        </w:tc>
        <w:tc>
          <w:tcPr>
            <w:tcW w:type="dxa" w:w="2880"/>
          </w:tcPr>
          <w:p>
            <w:r>
              <w:t>Complete</w:t>
            </w:r>
          </w:p>
        </w:tc>
      </w:tr>
      <w:tr>
        <w:tc>
          <w:tcPr>
            <w:tcW w:type="dxa" w:w="2880"/>
          </w:tcPr>
          <w:p>
            <w:r>
              <w:t>Incident drill</w:t>
            </w:r>
          </w:p>
        </w:tc>
        <w:tc>
          <w:tcPr>
            <w:tcW w:type="dxa" w:w="2880"/>
          </w:tcPr>
          <w:p>
            <w:r>
              <w:t>Compliance Manager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