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HR Policies - Customer Support APAC v1.2</w:t>
      </w:r>
    </w:p>
    <w:p>
      <w:r>
        <w:t>Department: Customer Support</w:t>
      </w:r>
    </w:p>
    <w:p>
      <w:r>
        <w:t>Author: Riley Lee</w:t>
      </w:r>
    </w:p>
    <w:p>
      <w:r>
        <w:t>Created date: 2024-12-05</w:t>
      </w:r>
    </w:p>
    <w:p>
      <w:r>
        <w:t>Region: APAC</w:t>
      </w:r>
    </w:p>
    <w:p>
      <w:r>
        <w:t>Version: 1.2</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Purpose and Scope</w:t>
      </w:r>
    </w:p>
    <w:p>
      <w:r>
        <w:t>We prioritize customer impact, data integrity, and regulatory alignment. Evidence artifacts are retained in Jira for at least 12 months. The Customer Support organization uses ServiceNow to enforce consistent service baselines.</w:t>
      </w:r>
    </w:p>
    <w:p>
      <w:r>
        <w:t>Escalations should follow the on-call rotation with a response target of 45 minutes. Systems are monitored via ServiceNow and alert routing in Jira.</w:t>
      </w:r>
    </w:p>
    <w:p>
      <w:pPr>
        <w:pStyle w:val="ListBullet"/>
      </w:pPr>
      <w:r>
        <w:t>Teams must log requests in Jira and track outcomes in ERP System for audit readiness.</w:t>
      </w:r>
    </w:p>
    <w:p>
      <w:pPr>
        <w:pStyle w:val="ListBullet"/>
      </w:pPr>
      <w:r>
        <w:t>All incidents are tagged with severity and mapped to service tiers.</w:t>
      </w:r>
    </w:p>
    <w:p>
      <w:pPr>
        <w:pStyle w:val="ListBullet"/>
      </w:pPr>
      <w:r>
        <w:t>This document aligns with GDPR requirements and supports APAC data residency expectations.</w:t>
      </w:r>
    </w:p>
    <w:p>
      <w:pPr>
        <w:pStyle w:val="ListBullet"/>
      </w:pPr>
      <w:r>
        <w:t>This document aligns with GDPR requirements and supports APAC data residency expectations.</w:t>
      </w:r>
    </w:p>
    <w:p>
      <w:pPr>
        <w:pStyle w:val="ListBullet"/>
      </w:pPr>
      <w:r>
        <w:t>This document aligns with GDPR requirements and supports APAC data residency expectations.</w:t>
      </w:r>
    </w:p>
    <w:p>
      <w:pPr>
        <w:pStyle w:val="ListBullet"/>
      </w:pPr>
      <w:r>
        <w:t>Regional teams in APAC follow the same policy with localized legal review.</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Operations</w:t>
            </w:r>
          </w:p>
        </w:tc>
        <w:tc>
          <w:tcPr>
            <w:tcW w:type="dxa" w:w="2880"/>
          </w:tcPr>
          <w:p>
            <w:r>
              <w:t>Blocked</w:t>
            </w:r>
          </w:p>
        </w:tc>
      </w:tr>
      <w:tr>
        <w:tc>
          <w:tcPr>
            <w:tcW w:type="dxa" w:w="2880"/>
          </w:tcPr>
          <w:p>
            <w:r>
              <w:t>Patch window</w:t>
            </w:r>
          </w:p>
        </w:tc>
        <w:tc>
          <w:tcPr>
            <w:tcW w:type="dxa" w:w="2880"/>
          </w:tcPr>
          <w:p>
            <w:r>
              <w:t>Customer Support</w:t>
            </w:r>
          </w:p>
        </w:tc>
        <w:tc>
          <w:tcPr>
            <w:tcW w:type="dxa" w:w="2880"/>
          </w:tcPr>
          <w:p>
            <w:r>
              <w:t>Complete</w:t>
            </w:r>
          </w:p>
        </w:tc>
      </w:tr>
      <w:tr>
        <w:tc>
          <w:tcPr>
            <w:tcW w:type="dxa" w:w="2880"/>
          </w:tcPr>
          <w:p>
            <w:r>
              <w:t>Vendor check</w:t>
            </w:r>
          </w:p>
        </w:tc>
        <w:tc>
          <w:tcPr>
            <w:tcW w:type="dxa" w:w="2880"/>
          </w:tcPr>
          <w:p>
            <w:r>
              <w:t>Security</w:t>
            </w:r>
          </w:p>
        </w:tc>
        <w:tc>
          <w:tcPr>
            <w:tcW w:type="dxa" w:w="2880"/>
          </w:tcPr>
          <w:p>
            <w:r>
              <w:t>Complete</w:t>
            </w:r>
          </w:p>
        </w:tc>
      </w:tr>
    </w:tbl>
    <w:p>
      <w:pPr>
        <w:pStyle w:val="Heading1"/>
      </w:pPr>
      <w:r>
        <w:t>Eligibility</w:t>
      </w:r>
    </w:p>
    <w:p>
      <w:r>
        <w:t>Regional teams in APAC follow the same policy with localized legal review. Systems are monitored via ServiceNow and alert routing in Jira.</w:t>
      </w:r>
    </w:p>
    <w:p>
      <w:r>
        <w:t>Risk acceptance must be documented and revalidated each quarter. The Customer Support organization uses ServiceNow to enforce consistent service baselines.</w:t>
      </w:r>
    </w:p>
    <w:p>
      <w:pPr>
        <w:pStyle w:val="ListBullet"/>
      </w:pPr>
      <w:r>
        <w:t>Teams must log requests in Jira and track outcomes in ERP System for audit readiness.</w:t>
      </w:r>
    </w:p>
    <w:p>
      <w:pPr>
        <w:pStyle w:val="ListBullet"/>
      </w:pPr>
      <w:r>
        <w:t>The Customer Support team coordinates with Release Manager to maintain operational readiness.</w:t>
      </w:r>
    </w:p>
    <w:p>
      <w:pPr>
        <w:pStyle w:val="ListBullet"/>
      </w:pPr>
      <w:r>
        <w:t>Regional teams in APAC follow the same policy with localized legal review.</w:t>
      </w:r>
    </w:p>
    <w:p>
      <w:pPr>
        <w:pStyle w:val="ListBullet"/>
      </w:pPr>
      <w:r>
        <w:t>This document aligns with GDPR requirements and supports APAC data residency expectations.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Security</w:t>
            </w:r>
          </w:p>
        </w:tc>
        <w:tc>
          <w:tcPr>
            <w:tcW w:type="dxa" w:w="2880"/>
          </w:tcPr>
          <w:p>
            <w:r>
              <w:t>Blocked</w:t>
            </w:r>
          </w:p>
        </w:tc>
      </w:tr>
      <w:tr>
        <w:tc>
          <w:tcPr>
            <w:tcW w:type="dxa" w:w="2880"/>
          </w:tcPr>
          <w:p>
            <w:r>
              <w:t>Access review</w:t>
            </w:r>
          </w:p>
        </w:tc>
        <w:tc>
          <w:tcPr>
            <w:tcW w:type="dxa" w:w="2880"/>
          </w:tcPr>
          <w:p>
            <w:r>
              <w:t>Security</w:t>
            </w:r>
          </w:p>
        </w:tc>
        <w:tc>
          <w:tcPr>
            <w:tcW w:type="dxa" w:w="2880"/>
          </w:tcPr>
          <w:p>
            <w:r>
              <w:t>Blocked</w:t>
            </w:r>
          </w:p>
        </w:tc>
      </w:tr>
      <w:tr>
        <w:tc>
          <w:tcPr>
            <w:tcW w:type="dxa" w:w="2880"/>
          </w:tcPr>
          <w:p>
            <w:r>
              <w:t>Incident drill</w:t>
            </w:r>
          </w:p>
        </w:tc>
        <w:tc>
          <w:tcPr>
            <w:tcW w:type="dxa" w:w="2880"/>
          </w:tcPr>
          <w:p>
            <w:r>
              <w:t>Release Manager</w:t>
            </w:r>
          </w:p>
        </w:tc>
        <w:tc>
          <w:tcPr>
            <w:tcW w:type="dxa" w:w="2880"/>
          </w:tcPr>
          <w:p>
            <w:r>
              <w:t>In Progress</w:t>
            </w:r>
          </w:p>
        </w:tc>
      </w:tr>
      <w:tr>
        <w:tc>
          <w:tcPr>
            <w:tcW w:type="dxa" w:w="2880"/>
          </w:tcPr>
          <w:p>
            <w:r>
              <w:t>Patch window</w:t>
            </w:r>
          </w:p>
        </w:tc>
        <w:tc>
          <w:tcPr>
            <w:tcW w:type="dxa" w:w="2880"/>
          </w:tcPr>
          <w:p>
            <w:r>
              <w:t>Customer Support</w:t>
            </w:r>
          </w:p>
        </w:tc>
        <w:tc>
          <w:tcPr>
            <w:tcW w:type="dxa" w:w="2880"/>
          </w:tcPr>
          <w:p>
            <w:r>
              <w:t>In Progress</w:t>
            </w:r>
          </w:p>
        </w:tc>
      </w:tr>
    </w:tbl>
    <w:p>
      <w:pPr>
        <w:pStyle w:val="Heading1"/>
      </w:pPr>
      <w:r>
        <w:t>Policy Requirements</w:t>
      </w:r>
    </w:p>
    <w:p>
      <w:r>
        <w:t>Systems are monitored via ServiceNow and alert routing in Jira. Audit sampling occurs monthly and is summarized in leadership dashboards.</w:t>
      </w:r>
    </w:p>
    <w:p>
      <w:pPr>
        <w:pStyle w:val="ListBullet"/>
      </w:pPr>
      <w:r>
        <w:t>This document aligns with GDPR requirements and supports APAC data residency expectations.</w:t>
      </w:r>
    </w:p>
    <w:p>
      <w:pPr>
        <w:pStyle w:val="ListBullet"/>
      </w:pPr>
      <w:r>
        <w:t>The Customer Support team coordinates with Release Manager to maintain operational readiness.</w:t>
      </w:r>
    </w:p>
    <w:p>
      <w:pPr>
        <w:pStyle w:val="ListBullet"/>
      </w:pPr>
      <w:r>
        <w:t>This document aligns with GDPR requirements and supports APAC data residency expectations.</w:t>
      </w:r>
    </w:p>
    <w:p>
      <w:pPr>
        <w:pStyle w:val="Heading1"/>
      </w:pPr>
      <w:r>
        <w:t>Process</w:t>
      </w:r>
    </w:p>
    <w:p>
      <w:r>
        <w:t>We prioritize customer impact, data integrity, and regulatory alignment. This document aligns with GDPR requirements and supports APAC data residency expectations. Systems are monitored via ServiceNow and alert routing in Jira. Systems are monitored via ServiceNow and alert routing in Jira.</w:t>
      </w:r>
    </w:p>
    <w:p>
      <w:r>
        <w:t>Escalations should follow the on-call rotation with a response target of 45 minutes. The Customer Support team coordinates with Release Manager to maintain operational readiness. The process integrates with ERP System and depends on ServiceNow for telemetry signals. Stakeholders include the Release Manager, service owner, and compliance lead for approvals.</w:t>
      </w:r>
    </w:p>
    <w:p>
      <w:pPr>
        <w:pStyle w:val="ListBullet"/>
      </w:pPr>
      <w:r>
        <w:t>Audit sampling occurs monthly and is summarized in leadership dashboards.</w:t>
      </w:r>
    </w:p>
    <w:p>
      <w:pPr>
        <w:pStyle w:val="ListBullet"/>
      </w:pPr>
      <w:r>
        <w:t>The Customer Support team coordinates with Release Manager to maintain operational readiness.</w:t>
      </w:r>
    </w:p>
    <w:p>
      <w:pPr>
        <w:pStyle w:val="ListBullet"/>
      </w:pPr>
      <w:r>
        <w:t>Audit sampling occurs monthly and is summarized in leadership dashboards.</w:t>
      </w:r>
    </w:p>
    <w:p>
      <w:pPr>
        <w:pStyle w:val="ListBullet"/>
      </w:pPr>
      <w:r>
        <w:t>The process integrates with ERP System and depends on ServiceNow for telemetry signals.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Release Manager</w:t>
            </w:r>
          </w:p>
        </w:tc>
        <w:tc>
          <w:tcPr>
            <w:tcW w:type="dxa" w:w="2880"/>
          </w:tcPr>
          <w:p>
            <w:r>
              <w:t>Blocked</w:t>
            </w:r>
          </w:p>
        </w:tc>
      </w:tr>
      <w:tr>
        <w:tc>
          <w:tcPr>
            <w:tcW w:type="dxa" w:w="2880"/>
          </w:tcPr>
          <w:p>
            <w:r>
              <w:t>Access review</w:t>
            </w:r>
          </w:p>
        </w:tc>
        <w:tc>
          <w:tcPr>
            <w:tcW w:type="dxa" w:w="2880"/>
          </w:tcPr>
          <w:p>
            <w:r>
              <w:t>Operations</w:t>
            </w:r>
          </w:p>
        </w:tc>
        <w:tc>
          <w:tcPr>
            <w:tcW w:type="dxa" w:w="2880"/>
          </w:tcPr>
          <w:p>
            <w:r>
              <w:t>Planned</w:t>
            </w:r>
          </w:p>
        </w:tc>
      </w:tr>
      <w:tr>
        <w:tc>
          <w:tcPr>
            <w:tcW w:type="dxa" w:w="2880"/>
          </w:tcPr>
          <w:p>
            <w:r>
              <w:t>Access review</w:t>
            </w:r>
          </w:p>
        </w:tc>
        <w:tc>
          <w:tcPr>
            <w:tcW w:type="dxa" w:w="2880"/>
          </w:tcPr>
          <w:p>
            <w:r>
              <w:t>Operations</w:t>
            </w:r>
          </w:p>
        </w:tc>
        <w:tc>
          <w:tcPr>
            <w:tcW w:type="dxa" w:w="2880"/>
          </w:tcPr>
          <w:p>
            <w:r>
              <w:t>Complete</w:t>
            </w:r>
          </w:p>
        </w:tc>
      </w:tr>
    </w:tbl>
    <w:p>
      <w:pPr>
        <w:pStyle w:val="Heading1"/>
      </w:pPr>
      <w:r>
        <w:t>Exceptions and Escalation</w:t>
      </w:r>
    </w:p>
    <w:p>
      <w:r>
        <w:t>All incidents are tagged with severity and mapped to service tiers. All incidents are tagged with severity and mapped to service tiers. The process integrates with ERP System and depends on ServiceNow for telemetry signals. Risk acceptance must be documented and revalidated each quarter.</w:t>
      </w:r>
    </w:p>
    <w:p>
      <w:r>
        <w:t>All incidents are tagged with severity and mapped to service tiers. Teams must log requests in Jira and track outcomes in ERP System for audit readiness. This document aligns with GDPR requirements and supports APAC data residency expectations.</w:t>
      </w:r>
    </w:p>
    <w:p>
      <w:pPr>
        <w:pStyle w:val="ListBullet"/>
      </w:pPr>
      <w:r>
        <w:t>Escalations should follow the on-call rotation with a response target of 45 minutes.</w:t>
      </w:r>
    </w:p>
    <w:p>
      <w:pPr>
        <w:pStyle w:val="ListBullet"/>
      </w:pPr>
      <w:r>
        <w:t>Audit sampling occurs monthly and is summarized in leadership dashboards.</w:t>
      </w:r>
    </w:p>
    <w:p>
      <w:pPr>
        <w:pStyle w:val="ListBullet"/>
      </w:pPr>
      <w:r>
        <w:t>The Customer Support team coordinates with Release Manager to maintain operational readiness.</w:t>
      </w:r>
    </w:p>
    <w:p>
      <w:pPr>
        <w:pStyle w:val="ListBullet"/>
      </w:pPr>
      <w:r>
        <w:t>This document aligns with GDPR requirements and supports APAC data residency expectations.</w:t>
      </w:r>
    </w:p>
    <w:p>
      <w:pPr>
        <w:pStyle w:val="ListBullet"/>
      </w:pPr>
      <w:r>
        <w:t>Risk acceptance must be documented and revalidated each quarter.</w:t>
      </w:r>
    </w:p>
    <w:p>
      <w:pPr>
        <w:pStyle w:val="ListBullet"/>
      </w:pPr>
      <w:r>
        <w:t>All incidents are tagged with severity and mapped to service tiers.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