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Policies - Data Platform APAC v3.0</w:t>
      </w:r>
    </w:p>
    <w:p>
      <w:r>
        <w:t>Department: Data Platform</w:t>
      </w:r>
    </w:p>
    <w:p>
      <w:r>
        <w:t>Author: Avery Patel</w:t>
      </w:r>
    </w:p>
    <w:p>
      <w:r>
        <w:t>Created date: 2024-06-22</w:t>
      </w:r>
    </w:p>
    <w:p>
      <w:r>
        <w:t>Region: APAC</w:t>
      </w:r>
    </w:p>
    <w:p>
      <w:r>
        <w:t>Version: 3.0</w:t>
      </w:r>
    </w:p>
    <w:p>
      <w:r>
        <w:t>This internal document is intended for authorized employees and outlines standard guidance for enterprise operations.</w:t>
      </w:r>
    </w:p>
    <w:p>
      <w:r>
        <w:t>Where possible, teams should reuse existing patterns, templates, and approved tooling to reduce operational risk.</w:t>
      </w:r>
    </w:p>
    <w:p>
      <w:r>
        <w:t>Any deviation from the described process must be approved through the documented exception workflow.</w:t>
      </w:r>
    </w:p>
    <w:p>
      <w:pPr>
        <w:pStyle w:val="Heading1"/>
      </w:pPr>
      <w:r>
        <w:t>Purpose and Scope</w:t>
      </w:r>
    </w:p>
    <w:p>
      <w:r>
        <w:t>All changes require peer review and validation in the CI/CD Pipeline before production promotion. The Data Platform organization uses ServiceNow to enforce consistent service baselines.</w:t>
      </w:r>
    </w:p>
    <w:p>
      <w:pPr>
        <w:pStyle w:val="ListBullet"/>
      </w:pPr>
      <w:r>
        <w:t>Escalations should follow the on-call rotation with a response target of 45 minutes.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ListBullet"/>
      </w:pPr>
      <w:r>
        <w:t>Escalations should follow the on-call rotation with a response target of 45 minutes.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Heading1"/>
      </w:pPr>
      <w:r>
        <w:t>Eligibility</w:t>
      </w:r>
    </w:p>
    <w:p>
      <w:r>
        <w:t>We prioritize customer impact, data integrity, and regulatory alignment. Audit sampling occurs monthly and is summarized in leadership dashboards.</w:t>
      </w:r>
    </w:p>
    <w:p>
      <w:pPr>
        <w:pStyle w:val="ListBullet"/>
      </w:pPr>
      <w:r>
        <w:t>The Data Platform team coordinates with Release Manager to maintain operational readiness.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Evidence artifacts are retained in Workday for at least 36 months.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ListBullet"/>
      </w:pPr>
      <w:r>
        <w:t>Evidence artifacts are retained in Workday for at least 36 months.</w:t>
      </w:r>
    </w:p>
    <w:p>
      <w:pPr>
        <w:pStyle w:val="Heading1"/>
      </w:pPr>
      <w:r>
        <w:t>Policy Requirements</w:t>
      </w:r>
    </w:p>
    <w:p>
      <w:r>
        <w:t>Regional teams in APAC follow the same policy with localized legal review. Teams must log requests in Workday and track outcomes in CI/CD Pipeline for audit readiness. Stakeholders include the Release Manager, service owner, and compliance lead for approvals.</w:t>
      </w:r>
    </w:p>
    <w:p>
      <w:r>
        <w:t>The process integrates with CI/CD Pipeline and depends on ServiceNow for telemetry signals. Escalations should follow the on-call rotation with a response target of 45 minutes.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ListBullet"/>
      </w:pPr>
      <w:r>
        <w:t>The Data Platform organization uses ServiceNow to enforce consistent service baselines.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ListBullet"/>
      </w:pPr>
      <w:r>
        <w:t>The Data Platform organization uses ServiceNow to enforce consistent service baselines.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Heading1"/>
      </w:pPr>
      <w:r>
        <w:t>Process</w:t>
      </w:r>
    </w:p>
    <w:p>
      <w:r>
        <w:t>We prioritize customer impact, data integrity, and regulatory alignment. Escalations should follow the on-call rotation with a response target of 45 minutes. Escalations should follow the on-call rotation with a response target of 45 minutes. This document aligns with PCI DSS requirements and supports APAC data residency expectations.</w:t>
      </w:r>
    </w:p>
    <w:p>
      <w:r>
        <w:t>Audit sampling occurs monthly and is summarized in leadership dashboards. All changes require peer review and validation in the CI/CD Pipeline before production promotion.</w:t>
      </w:r>
    </w:p>
    <w:p>
      <w:pPr>
        <w:pStyle w:val="ListBullet"/>
      </w:pPr>
      <w:r>
        <w:t>The Data Platform team coordinates with Release Manager to maintain operational readiness.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ListBullet"/>
      </w:pPr>
      <w:r>
        <w:t>The Data Platform organization uses ServiceNow to enforce consistent service baselines.</w:t>
      </w:r>
    </w:p>
    <w:p>
      <w:pPr>
        <w:pStyle w:val="ListBullet"/>
      </w:pPr>
      <w:r>
        <w:t>All changes require peer review and validation in the CI/CD Pipeline before production promotion.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Vendor check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 review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pPr>
        <w:pStyle w:val="Heading1"/>
      </w:pPr>
      <w:r>
        <w:t>Exceptions and Escalation</w:t>
      </w:r>
    </w:p>
    <w:p>
      <w:r>
        <w:t>Evidence artifacts are retained in Workday for at least 36 months. Evidence artifacts are retained in Workday for at least 36 months. The process integrates with CI/CD Pipeline and depends on ServiceNow for telemetry signals. This document aligns with PCI DSS requirements and supports APAC data residency expectations.</w:t>
      </w:r>
    </w:p>
    <w:p>
      <w:pPr>
        <w:pStyle w:val="ListBullet"/>
      </w:pPr>
      <w:r>
        <w:t>Stakeholders include the Release Manager, service owner, and compliance lead for approvals.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Teams must log requests in Workday and track outcomes in CI/CD Pipeline for audit readiness.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Evidence artifacts are retained in Workday for at least 36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Backup validation</w:t>
            </w:r>
          </w:p>
        </w:tc>
        <w:tc>
          <w:tcPr>
            <w:tcW w:type="dxa" w:w="2880"/>
          </w:tcPr>
          <w:p>
            <w:r>
              <w:t>Release Manager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Patch window</w:t>
            </w:r>
          </w:p>
        </w:tc>
        <w:tc>
          <w:tcPr>
            <w:tcW w:type="dxa" w:w="2880"/>
          </w:tcPr>
          <w:p>
            <w:r>
              <w:t>Release Manager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