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Finance EU v2.0</w:t>
      </w:r>
    </w:p>
    <w:p>
      <w:r>
        <w:t>Department: Finance</w:t>
      </w:r>
    </w:p>
    <w:p>
      <w:r>
        <w:t>Author: Morgan Garcia</w:t>
      </w:r>
    </w:p>
    <w:p>
      <w:r>
        <w:t>Created date: 2024-03-03</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All incidents are tagged with severity and mapped to service tiers. Audit sampling occurs monthly and is summarized in leadership dashboards. All changes require peer review and validation in the CRM Platform before production promotion. Evidence artifacts are retained in Jira for at least 36 months.</w:t>
      </w:r>
    </w:p>
    <w:p>
      <w:pPr>
        <w:pStyle w:val="ListBullet"/>
      </w:pPr>
      <w:r>
        <w:t>We prioritize customer impact, data integrity, and regulatory alignment.</w:t>
      </w:r>
    </w:p>
    <w:p>
      <w:pPr>
        <w:pStyle w:val="ListBullet"/>
      </w:pPr>
      <w:r>
        <w:t>Systems are monitored via Kafka and alert routing in Jira.</w:t>
      </w:r>
    </w:p>
    <w:p>
      <w:pPr>
        <w:pStyle w:val="ListBullet"/>
      </w:pPr>
      <w:r>
        <w:t>Audit sampling occurs monthly and is summarized in leadership dashboards.</w:t>
      </w:r>
    </w:p>
    <w:p>
      <w:pPr>
        <w:pStyle w:val="Heading1"/>
      </w:pPr>
      <w:r>
        <w:t>Eligibility</w:t>
      </w:r>
    </w:p>
    <w:p>
      <w:r>
        <w:t>The Finance team coordinates with SRE to maintain operational readiness. Stakeholders include the SRE, service owner, and compliance lead for approvals.</w:t>
      </w:r>
    </w:p>
    <w:p>
      <w:r>
        <w:t>Teams must log requests in Jira and track outcomes in CRM Platform for audit readiness. All changes require peer review and validation in the CRM Platform before production promotion. Regional teams in EU follow the same policy with localized legal review.</w:t>
      </w:r>
    </w:p>
    <w:p>
      <w:pPr>
        <w:pStyle w:val="ListBullet"/>
      </w:pPr>
      <w:r>
        <w:t>We prioritize customer impact, data integrity, and regulatory alignment.</w:t>
      </w:r>
    </w:p>
    <w:p>
      <w:pPr>
        <w:pStyle w:val="ListBullet"/>
      </w:pPr>
      <w:r>
        <w:t>Teams must log requests in Jira and track outcomes in CRM Platform for audit readiness.</w:t>
      </w:r>
    </w:p>
    <w:p>
      <w:pPr>
        <w:pStyle w:val="ListBullet"/>
      </w:pPr>
      <w:r>
        <w:t>All changes require peer review and validation in the CRM Platform before production promotion.</w:t>
      </w:r>
    </w:p>
    <w:p>
      <w:pPr>
        <w:pStyle w:val="ListBullet"/>
      </w:pPr>
      <w:r>
        <w:t>Escalations should follow the on-call rotation with a response target of 30 minutes.</w:t>
      </w:r>
    </w:p>
    <w:p>
      <w:pPr>
        <w:pStyle w:val="Heading1"/>
      </w:pPr>
      <w:r>
        <w:t>Policy Requirements</w:t>
      </w:r>
    </w:p>
    <w:p>
      <w:r>
        <w:t>Regional teams in EU follow the same policy with localized legal review. This document aligns with SOC 2 requirements and supports EU data residency expectations. Systems are monitored via Kafka and alert routing in Jira. Audit sampling occurs monthly and is summarized in leadership dashboards.</w:t>
      </w:r>
    </w:p>
    <w:p>
      <w:r>
        <w:t>This document aligns with SOC 2 requirements and supports EU data residency expectations. Stakeholders include the SRE,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Regional teams in EU follow the same policy with localized legal review.</w:t>
      </w:r>
    </w:p>
    <w:p>
      <w:pPr>
        <w:pStyle w:val="Heading1"/>
      </w:pPr>
      <w:r>
        <w:t>Process</w:t>
      </w:r>
    </w:p>
    <w:p>
      <w:r>
        <w:t>The process integrates with CRM Platform and depends on Kafka for telemetry signals. Audit sampling occurs monthly and is summarized in leadership dashboards. Risk acceptance must be documented and revalidated each quarter. This document aligns with SOC 2 requirements and supports EU data residency expectations.</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Stakeholders include the SRE, service owner, and compliance lead for approvals.</w:t>
      </w:r>
    </w:p>
    <w:p>
      <w:pPr>
        <w:pStyle w:val="ListBullet"/>
      </w:pPr>
      <w:r>
        <w:t>Systems are monitored via Kafka and alert routing in Jira.</w:t>
      </w:r>
    </w:p>
    <w:p>
      <w:pPr>
        <w:pStyle w:val="ListBullet"/>
      </w:pPr>
      <w:r>
        <w:t>All changes require peer review and validation in the CRM Platform before production promotion.</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SRE</w:t>
            </w:r>
          </w:p>
        </w:tc>
        <w:tc>
          <w:tcPr>
            <w:tcW w:type="dxa" w:w="2880"/>
          </w:tcPr>
          <w:p>
            <w:r>
              <w:t>Complete</w:t>
            </w:r>
          </w:p>
        </w:tc>
      </w:tr>
    </w:tbl>
    <w:p>
      <w:pPr>
        <w:pStyle w:val="Heading1"/>
      </w:pPr>
      <w:r>
        <w:t>Exceptions and Escalation</w:t>
      </w:r>
    </w:p>
    <w:p>
      <w:r>
        <w:t>Evidence artifacts are retained in Jira for at least 36 months. This document aligns with SOC 2 requirements and supports EU data residency expectations.</w:t>
      </w:r>
    </w:p>
    <w:p>
      <w:r>
        <w:t>The Finance team coordinates with SRE to maintain operational readiness. We prioritize customer impact, data integrity, and regulatory alignment. The Finance team coordinates with SRE to maintain operational readiness. We prioritize customer impact, data integrity, and regulatory alignment.</w:t>
      </w:r>
    </w:p>
    <w:p>
      <w:pPr>
        <w:pStyle w:val="ListBullet"/>
      </w:pPr>
      <w:r>
        <w:t>Systems are monitored via Kafka and alert routing in Jira.</w:t>
      </w:r>
    </w:p>
    <w:p>
      <w:pPr>
        <w:pStyle w:val="ListBullet"/>
      </w:pPr>
      <w:r>
        <w:t>The Finance organization uses Kafka to enforce consistent service baselines.</w:t>
      </w:r>
    </w:p>
    <w:p>
      <w:pPr>
        <w:pStyle w:val="ListBullet"/>
      </w:pPr>
      <w:r>
        <w:t>Teams must log requests in Jira and track outcomes in CRM Platform for audit readiness.</w:t>
      </w:r>
    </w:p>
    <w:p>
      <w:pPr>
        <w:pStyle w:val="ListBullet"/>
      </w:pPr>
      <w:r>
        <w:t>The process integrates with CRM Platform and depends on Kafka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