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Finance EU v2.0</w:t>
      </w:r>
    </w:p>
    <w:p>
      <w:r>
        <w:t>Department: Finance</w:t>
      </w:r>
    </w:p>
    <w:p>
      <w:r>
        <w:t>Author: Morgan Smith</w:t>
      </w:r>
    </w:p>
    <w:p>
      <w:r>
        <w:t>Created date: 2023-12-21</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The process integrates with Log Aggregation Cluster and depends on Snowflake for telemetry signals. We prioritize customer impact, data integrity, and regulatory alignment. Audit sampling occurs monthly and is summarized in leadership dashboards. Evidence artifacts are retained in Google Workspace for at least 18 months.</w:t>
      </w:r>
    </w:p>
    <w:p>
      <w:r>
        <w:t>Teams must log requests in Google Workspace and track outcomes in Log Aggregation Cluster for audit readiness. The Finance organization uses Snowflake to enforce consistent service baselines.</w:t>
      </w:r>
    </w:p>
    <w:p>
      <w:pPr>
        <w:pStyle w:val="ListBullet"/>
      </w:pPr>
      <w:r>
        <w:t>Teams must log requests in Google Workspace and track outcomes in Log Aggregation Cluster for audit readiness.</w:t>
      </w:r>
    </w:p>
    <w:p>
      <w:pPr>
        <w:pStyle w:val="ListBullet"/>
      </w:pPr>
      <w:r>
        <w:t>Audit sampling occurs monthly and is summarized in leadership dashboards.</w:t>
      </w:r>
    </w:p>
    <w:p>
      <w:pPr>
        <w:pStyle w:val="ListBullet"/>
      </w:pPr>
      <w:r>
        <w:t>Stakeholders include the Platform Engineer,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Access review</w:t>
            </w:r>
          </w:p>
        </w:tc>
        <w:tc>
          <w:tcPr>
            <w:tcW w:type="dxa" w:w="2880"/>
          </w:tcPr>
          <w:p>
            <w:r>
              <w:t>Platform Engineer</w:t>
            </w:r>
          </w:p>
        </w:tc>
        <w:tc>
          <w:tcPr>
            <w:tcW w:type="dxa" w:w="2880"/>
          </w:tcPr>
          <w:p>
            <w:r>
              <w:t>Complete</w:t>
            </w:r>
          </w:p>
        </w:tc>
      </w:tr>
    </w:tbl>
    <w:p>
      <w:pPr>
        <w:pStyle w:val="Heading1"/>
      </w:pPr>
      <w:r>
        <w:t>Eligibility</w:t>
      </w:r>
    </w:p>
    <w:p>
      <w:r>
        <w:t>Risk acceptance must be documented and revalidated each quarter. Regional teams in EU follow the same policy with localized legal review. Escalations should follow the on-call rotation with a response target of 60 minutes. Regional teams in EU follow the same policy with localized legal review.</w:t>
      </w:r>
    </w:p>
    <w:p>
      <w:r>
        <w:t>Evidence artifacts are retained in Google Workspace for at least 18 months. The Finance organization uses Snowflake to enforce consistent service baselines. Escalations should follow the on-call rotation with a response target of 60 minutes.</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The Finance organization uses Snowflake to enforce consistent service baselines.</w:t>
      </w:r>
    </w:p>
    <w:p>
      <w:pPr>
        <w:pStyle w:val="ListBullet"/>
      </w:pPr>
      <w:r>
        <w:t>Escalations should follow the on-call rotation with a response target of 60 minutes.</w:t>
      </w:r>
    </w:p>
    <w:p>
      <w:pPr>
        <w:pStyle w:val="ListBullet"/>
      </w:pPr>
      <w:r>
        <w:t>This document aligns with GDPR requirements and supports EU data residency expectations.</w:t>
      </w:r>
    </w:p>
    <w:p>
      <w:pPr>
        <w:pStyle w:val="Heading1"/>
      </w:pPr>
      <w:r>
        <w:t>Policy Requirements</w:t>
      </w:r>
    </w:p>
    <w:p>
      <w:r>
        <w:t>Stakeholders include the Platform Engineer, service owner, and compliance lead for approvals. Evidence artifacts are retained in Google Workspace for at least 18 months.</w:t>
      </w:r>
    </w:p>
    <w:p>
      <w:r>
        <w:t>Teams must log requests in Google Workspace and track outcomes in Log Aggregation Cluster for audit readiness. Systems are monitored via Snowflake and alert routing in Google Workspace. The process integrates with Log Aggregation Cluster and depends on Snowflake for telemetry signals.</w:t>
      </w:r>
    </w:p>
    <w:p>
      <w:pPr>
        <w:pStyle w:val="ListBullet"/>
      </w:pPr>
      <w:r>
        <w:t>Stakeholders include the Platform Engineer, service owner, and compliance lead for approvals.</w:t>
      </w:r>
    </w:p>
    <w:p>
      <w:pPr>
        <w:pStyle w:val="ListBullet"/>
      </w:pPr>
      <w:r>
        <w:t>The process integrates with Log Aggregation Cluster and depends on Snowflake for telemetry signals.</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Platform Engineer</w:t>
            </w:r>
          </w:p>
        </w:tc>
        <w:tc>
          <w:tcPr>
            <w:tcW w:type="dxa" w:w="2880"/>
          </w:tcPr>
          <w:p>
            <w:r>
              <w:t>Complete</w:t>
            </w:r>
          </w:p>
        </w:tc>
      </w:tr>
      <w:tr>
        <w:tc>
          <w:tcPr>
            <w:tcW w:type="dxa" w:w="2880"/>
          </w:tcPr>
          <w:p>
            <w:r>
              <w:t>Access review</w:t>
            </w:r>
          </w:p>
        </w:tc>
        <w:tc>
          <w:tcPr>
            <w:tcW w:type="dxa" w:w="2880"/>
          </w:tcPr>
          <w:p>
            <w:r>
              <w:t>Finance</w:t>
            </w:r>
          </w:p>
        </w:tc>
        <w:tc>
          <w:tcPr>
            <w:tcW w:type="dxa" w:w="2880"/>
          </w:tcPr>
          <w:p>
            <w:r>
              <w:t>In Progress</w:t>
            </w:r>
          </w:p>
        </w:tc>
      </w:tr>
      <w:tr>
        <w:tc>
          <w:tcPr>
            <w:tcW w:type="dxa" w:w="2880"/>
          </w:tcPr>
          <w:p>
            <w:r>
              <w:t>Backup validation</w:t>
            </w:r>
          </w:p>
        </w:tc>
        <w:tc>
          <w:tcPr>
            <w:tcW w:type="dxa" w:w="2880"/>
          </w:tcPr>
          <w:p>
            <w:r>
              <w:t>Security</w:t>
            </w:r>
          </w:p>
        </w:tc>
        <w:tc>
          <w:tcPr>
            <w:tcW w:type="dxa" w:w="2880"/>
          </w:tcPr>
          <w:p>
            <w:r>
              <w:t>In Progress</w:t>
            </w:r>
          </w:p>
        </w:tc>
      </w:tr>
    </w:tbl>
    <w:p>
      <w:pPr>
        <w:pStyle w:val="Heading1"/>
      </w:pPr>
      <w:r>
        <w:t>Process</w:t>
      </w:r>
    </w:p>
    <w:p>
      <w:r>
        <w:t>Regional teams in EU follow the same policy with localized legal review. Regional teams in EU follow the same policy with localized legal review. Audit sampling occurs monthly and is summarized in leadership dashboards.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Stakeholders include the Platform Engineer, service owner, and compliance lead for approvals.</w:t>
      </w:r>
    </w:p>
    <w:p>
      <w:pPr>
        <w:pStyle w:val="Heading1"/>
      </w:pPr>
      <w:r>
        <w:t>Exceptions and Escalation</w:t>
      </w:r>
    </w:p>
    <w:p>
      <w:r>
        <w:t>Escalations should follow the on-call rotation with a response target of 60 minutes. The process integrates with Log Aggregation Cluster and depends on Snowflake for telemetry signals.</w:t>
      </w:r>
    </w:p>
    <w:p>
      <w:pPr>
        <w:pStyle w:val="ListBullet"/>
      </w:pPr>
      <w:r>
        <w:t>Systems are monitored via Snowflake and alert routing in Google Workspace.</w:t>
      </w:r>
    </w:p>
    <w:p>
      <w:pPr>
        <w:pStyle w:val="ListBullet"/>
      </w:pPr>
      <w:r>
        <w:t>Evidence artifacts are retained in Google Workspace for at least 18 months.</w:t>
      </w:r>
    </w:p>
    <w:p>
      <w:pPr>
        <w:pStyle w:val="ListBullet"/>
      </w:pPr>
      <w:r>
        <w:t>Risk acceptance must be documented and revalidated each quarter.</w:t>
      </w:r>
    </w:p>
    <w:p>
      <w:pPr>
        <w:pStyle w:val="ListBullet"/>
      </w:pPr>
      <w:r>
        <w:t>Systems are monitored via Snowflake and alert routing in Google Workspace.</w:t>
      </w:r>
    </w:p>
    <w:p>
      <w:pPr>
        <w:pStyle w:val="ListBullet"/>
      </w:pPr>
      <w:r>
        <w:t>Teams must log requests in Google Workspace and track outcomes in Log Aggregation Cluster for audit readiness.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