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HR Policies - Information Technology EU v3.0</w:t>
      </w:r>
    </w:p>
    <w:p>
      <w:r>
        <w:t>Department: Information Technology</w:t>
      </w:r>
    </w:p>
    <w:p>
      <w:r>
        <w:t>Author: Taylor Brown</w:t>
      </w:r>
    </w:p>
    <w:p>
      <w:r>
        <w:t>Created date: 2025-09-22</w:t>
      </w:r>
    </w:p>
    <w:p>
      <w:r>
        <w:t>Region: EU</w:t>
      </w:r>
    </w:p>
    <w:p>
      <w:r>
        <w:t>Version: 3.0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Purpose and Scope</w:t>
      </w:r>
    </w:p>
    <w:p>
      <w:r>
        <w:t>Escalations should follow the on-call rotation with a response target of 15 minutes. Evidence artifacts are retained in Google Workspace for at least 12 months. The Information Technology team coordinates with Procurement Lead to maintain operational readiness. Evidence artifacts are retained in Google Workspace for at least 12 months.</w:t>
      </w:r>
    </w:p>
    <w:p>
      <w:pPr>
        <w:pStyle w:val="ListBullet"/>
      </w:pPr>
      <w:r>
        <w:t>Systems are monitored via Azure AD and alert routing in Google Workspace.</w:t>
      </w:r>
    </w:p>
    <w:p>
      <w:pPr>
        <w:pStyle w:val="ListBullet"/>
      </w:pPr>
      <w:r>
        <w:t>Audit sampling occurs monthly and is summarized in leadership dashboards.</w:t>
      </w:r>
    </w:p>
    <w:p>
      <w:pPr>
        <w:pStyle w:val="ListBullet"/>
      </w:pPr>
      <w:r>
        <w:t>The Information Technology organization uses Azure AD to enforce consistent service baselines.</w:t>
      </w:r>
    </w:p>
    <w:p>
      <w:pPr>
        <w:pStyle w:val="ListBullet"/>
      </w:pPr>
      <w:r>
        <w:t>The process integrates with Monitoring Stack and depends on Azure AD for telemetry signals.</w:t>
      </w:r>
    </w:p>
    <w:p>
      <w:pPr>
        <w:pStyle w:val="Heading1"/>
      </w:pPr>
      <w:r>
        <w:t>Eligibility</w:t>
      </w:r>
    </w:p>
    <w:p>
      <w:r>
        <w:t>The Information Technology organization uses Azure AD to enforce consistent service baselines. The Information Technology team coordinates with Procurement Lead to maintain operational readiness. Risk acceptance must be documented and revalidated each quarter. We prioritize customer impact, data integrity, and regulatory alignment.</w:t>
      </w:r>
    </w:p>
    <w:p>
      <w:pPr>
        <w:pStyle w:val="ListBullet"/>
      </w:pPr>
      <w:r>
        <w:t>Systems are monitored via Azure AD and alert routing in Google Workspace.</w:t>
      </w:r>
    </w:p>
    <w:p>
      <w:pPr>
        <w:pStyle w:val="ListBullet"/>
      </w:pPr>
      <w:r>
        <w:t>The Information Technology organization uses Azure AD to enforce consistent service baselines.</w:t>
      </w:r>
    </w:p>
    <w:p>
      <w:pPr>
        <w:pStyle w:val="ListBullet"/>
      </w:pPr>
      <w:r>
        <w:t>Regional teams in EU follow the same policy with localized legal review.</w:t>
      </w:r>
    </w:p>
    <w:p>
      <w:pPr>
        <w:pStyle w:val="Heading1"/>
      </w:pPr>
      <w:r>
        <w:t>Policy Requirements</w:t>
      </w:r>
    </w:p>
    <w:p>
      <w:r>
        <w:t>All changes require peer review and validation in the Monitoring Stack before production promotion. All changes require peer review and validation in the Monitoring Stack before production promotion.</w:t>
      </w:r>
    </w:p>
    <w:p>
      <w:r>
        <w:t>All changes require peer review and validation in the Monitoring Stack before production promotion. Teams must log requests in Google Workspace and track outcomes in Monitoring Stack for audit readiness. All incidents are tagged with severity and mapped to service tiers. All incidents are tagged with severity and mapped to service tiers.</w:t>
      </w:r>
    </w:p>
    <w:p>
      <w:pPr>
        <w:pStyle w:val="ListBullet"/>
      </w:pPr>
      <w:r>
        <w:t>We prioritize customer impact, data integrity, and regulatory alignment.</w:t>
      </w:r>
    </w:p>
    <w:p>
      <w:pPr>
        <w:pStyle w:val="ListBullet"/>
      </w:pPr>
      <w:r>
        <w:t>We prioritize customer impact, data integrity, and regulatory alignment.</w:t>
      </w:r>
    </w:p>
    <w:p>
      <w:pPr>
        <w:pStyle w:val="ListBullet"/>
      </w:pPr>
      <w:r>
        <w:t>All incidents are tagged with severity and mapped to service tiers.</w:t>
      </w:r>
    </w:p>
    <w:p>
      <w:pPr>
        <w:pStyle w:val="ListBullet"/>
      </w:pPr>
      <w:r>
        <w:t>Stakeholders include the Procurement Lead, service owner, and compliance lead for approvals.</w:t>
      </w:r>
    </w:p>
    <w:p>
      <w:pPr>
        <w:pStyle w:val="ListBullet"/>
      </w:pPr>
      <w:r>
        <w:t>Stakeholders include the Procurement Lead, service owner, and compliance lead for approvals.</w:t>
      </w:r>
    </w:p>
    <w:p>
      <w:pPr>
        <w:pStyle w:val="ListBullet"/>
      </w:pPr>
      <w:r>
        <w:t>We prioritize customer impact, data integrity, and regulatory alignment.</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Vendor check</w:t>
            </w:r>
          </w:p>
        </w:tc>
        <w:tc>
          <w:tcPr>
            <w:tcW w:type="dxa" w:w="2880"/>
          </w:tcPr>
          <w:p>
            <w:r>
              <w:t>Procurement Lead</w:t>
            </w:r>
          </w:p>
        </w:tc>
        <w:tc>
          <w:tcPr>
            <w:tcW w:type="dxa" w:w="2880"/>
          </w:tcPr>
          <w:p>
            <w:r>
              <w:t>In Progress</w:t>
            </w:r>
          </w:p>
        </w:tc>
      </w:tr>
      <w:tr>
        <w:tc>
          <w:tcPr>
            <w:tcW w:type="dxa" w:w="2880"/>
          </w:tcPr>
          <w:p>
            <w:r>
              <w:t>Access review</w:t>
            </w:r>
          </w:p>
        </w:tc>
        <w:tc>
          <w:tcPr>
            <w:tcW w:type="dxa" w:w="2880"/>
          </w:tcPr>
          <w:p>
            <w:r>
              <w:t>Information Technology</w:t>
            </w:r>
          </w:p>
        </w:tc>
        <w:tc>
          <w:tcPr>
            <w:tcW w:type="dxa" w:w="2880"/>
          </w:tcPr>
          <w:p>
            <w:r>
              <w:t>Blocked</w:t>
            </w:r>
          </w:p>
        </w:tc>
      </w:tr>
      <w:tr>
        <w:tc>
          <w:tcPr>
            <w:tcW w:type="dxa" w:w="2880"/>
          </w:tcPr>
          <w:p>
            <w:r>
              <w:t>Vendor check</w:t>
            </w:r>
          </w:p>
        </w:tc>
        <w:tc>
          <w:tcPr>
            <w:tcW w:type="dxa" w:w="2880"/>
          </w:tcPr>
          <w:p>
            <w:r>
              <w:t>Security</w:t>
            </w:r>
          </w:p>
        </w:tc>
        <w:tc>
          <w:tcPr>
            <w:tcW w:type="dxa" w:w="2880"/>
          </w:tcPr>
          <w:p>
            <w:r>
              <w:t>In Progress</w:t>
            </w:r>
          </w:p>
        </w:tc>
      </w:tr>
      <w:tr>
        <w:tc>
          <w:tcPr>
            <w:tcW w:type="dxa" w:w="2880"/>
          </w:tcPr>
          <w:p>
            <w:r>
              <w:t>Access review</w:t>
            </w:r>
          </w:p>
        </w:tc>
        <w:tc>
          <w:tcPr>
            <w:tcW w:type="dxa" w:w="2880"/>
          </w:tcPr>
          <w:p>
            <w:r>
              <w:t>Security</w:t>
            </w:r>
          </w:p>
        </w:tc>
        <w:tc>
          <w:tcPr>
            <w:tcW w:type="dxa" w:w="2880"/>
          </w:tcPr>
          <w:p>
            <w:r>
              <w:t>Complete</w:t>
            </w:r>
          </w:p>
        </w:tc>
      </w:tr>
    </w:tbl>
    <w:p>
      <w:pPr>
        <w:pStyle w:val="Heading1"/>
      </w:pPr>
      <w:r>
        <w:t>Process</w:t>
      </w:r>
    </w:p>
    <w:p>
      <w:r>
        <w:t>All incidents are tagged with severity and mapped to service tiers. All incidents are tagged with severity and mapped to service tiers. Escalations should follow the on-call rotation with a response target of 15 minutes.</w:t>
      </w:r>
    </w:p>
    <w:p>
      <w:pPr>
        <w:pStyle w:val="ListBullet"/>
      </w:pPr>
      <w:r>
        <w:t>Risk acceptance must be documented and revalidated each quarter.</w:t>
      </w:r>
    </w:p>
    <w:p>
      <w:pPr>
        <w:pStyle w:val="ListBullet"/>
      </w:pPr>
      <w:r>
        <w:t>This document aligns with GDPR requirements and supports EU data residency expectations.</w:t>
      </w:r>
    </w:p>
    <w:p>
      <w:pPr>
        <w:pStyle w:val="ListBullet"/>
      </w:pPr>
      <w:r>
        <w:t>Audit sampling occurs monthly and is summarized in leadership dashboards.</w:t>
      </w:r>
    </w:p>
    <w:p>
      <w:pPr>
        <w:pStyle w:val="ListBullet"/>
      </w:pPr>
      <w:r>
        <w:t>Audit sampling occurs monthly and is summarized in leadership dashboards.</w:t>
      </w:r>
    </w:p>
    <w:p>
      <w:pPr>
        <w:pStyle w:val="ListBullet"/>
      </w:pPr>
      <w:r>
        <w:t>The Information Technology organization uses Azure AD to enforce consistent service baselines.</w:t>
      </w:r>
    </w:p>
    <w:p>
      <w:pPr>
        <w:pStyle w:val="Heading1"/>
      </w:pPr>
      <w:r>
        <w:t>Exceptions and Escalation</w:t>
      </w:r>
    </w:p>
    <w:p>
      <w:r>
        <w:t>Regional teams in EU follow the same policy with localized legal review. Evidence artifacts are retained in Google Workspace for at least 12 months. Systems are monitored via Azure AD and alert routing in Google Workspace.</w:t>
      </w:r>
    </w:p>
    <w:p>
      <w:pPr>
        <w:pStyle w:val="ListBullet"/>
      </w:pPr>
      <w:r>
        <w:t>The process integrates with Monitoring Stack and depends on Azure AD for telemetry signals.</w:t>
      </w:r>
    </w:p>
    <w:p>
      <w:pPr>
        <w:pStyle w:val="ListBullet"/>
      </w:pPr>
      <w:r>
        <w:t>The Information Technology organization uses Azure AD to enforce consistent service baselines.</w:t>
      </w:r>
    </w:p>
    <w:p>
      <w:pPr>
        <w:pStyle w:val="ListBullet"/>
      </w:pPr>
      <w:r>
        <w:t>We prioritize customer impact, data integrity, and regulatory alignment.</w:t>
      </w:r>
    </w:p>
    <w:p>
      <w:pPr>
        <w:pStyle w:val="ListBullet"/>
      </w:pPr>
      <w:r>
        <w:t>Regional teams in EU follow the same policy with localized legal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