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Information Technology US v1.1</w:t>
      </w:r>
    </w:p>
    <w:p>
      <w:r>
        <w:t>Department: Information Technology</w:t>
      </w:r>
    </w:p>
    <w:p>
      <w:r>
        <w:t>Author: Alex Garcia</w:t>
      </w:r>
    </w:p>
    <w:p>
      <w:r>
        <w:t>Created date: 2025-12-23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Evidence artifacts are retained in Slack for at least 36 months. Regional teams in US follow the same policy with localized legal review. Evidence artifacts are retained in Slack for at least 36 months.</w:t>
      </w:r>
    </w:p>
    <w:p>
      <w:r>
        <w:t>This document aligns with PCI DSS requirements and supports US data residency expectations. The Information Technology team coordinates with Compliance Manager to maintain operational readiness. Systems are monitored via Datadog and alert routing in Slack. Teams must log requests in Slack and track outcomes in Document Repository for audit readiness.</w:t>
      </w:r>
    </w:p>
    <w:p>
      <w:pPr>
        <w:pStyle w:val="ListBullet"/>
      </w:pPr>
      <w:r>
        <w:t>Evidence artifacts are retained in Slack for at least 36 months.</w:t>
      </w:r>
    </w:p>
    <w:p>
      <w:pPr>
        <w:pStyle w:val="ListBullet"/>
      </w:pPr>
      <w:r>
        <w:t>Teams must log requests in Slack and track outcomes in Document Repository for audit readiness.</w:t>
      </w:r>
    </w:p>
    <w:p>
      <w:pPr>
        <w:pStyle w:val="ListBullet"/>
      </w:pPr>
      <w:r>
        <w:t>Escalations should follow the on-call rotation with a response target of 30 minutes.</w:t>
      </w:r>
    </w:p>
    <w:p>
      <w:pPr>
        <w:pStyle w:val="ListBullet"/>
      </w:pPr>
      <w:r>
        <w:t>Teams must log requests in Slack and track outcomes in Document Repository for audit readiness.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Blocked</w:t>
            </w:r>
          </w:p>
        </w:tc>
      </w:tr>
      <w:tr>
        <w:tc>
          <w:tcPr>
            <w:tcW w:type="dxa" w:w="2880"/>
          </w:tcPr>
          <w:p>
            <w:r>
              <w:t>Access review</w:t>
            </w:r>
          </w:p>
        </w:tc>
        <w:tc>
          <w:tcPr>
            <w:tcW w:type="dxa" w:w="2880"/>
          </w:tcPr>
          <w:p>
            <w:r>
              <w:t>Information Technology</w:t>
            </w:r>
          </w:p>
        </w:tc>
        <w:tc>
          <w:tcPr>
            <w:tcW w:type="dxa" w:w="2880"/>
          </w:tcPr>
          <w:p>
            <w:r>
              <w:t>Complete</w:t>
            </w:r>
          </w:p>
        </w:tc>
      </w:tr>
      <w:tr>
        <w:tc>
          <w:tcPr>
            <w:tcW w:type="dxa" w:w="2880"/>
          </w:tcPr>
          <w:p>
            <w:r>
              <w:t>Access review</w:t>
            </w:r>
          </w:p>
        </w:tc>
        <w:tc>
          <w:tcPr>
            <w:tcW w:type="dxa" w:w="2880"/>
          </w:tcPr>
          <w:p>
            <w:r>
              <w:t>Information Technology</w:t>
            </w:r>
          </w:p>
        </w:tc>
        <w:tc>
          <w:tcPr>
            <w:tcW w:type="dxa" w:w="2880"/>
          </w:tcPr>
          <w:p>
            <w:r>
              <w:t>Planned</w:t>
            </w:r>
          </w:p>
        </w:tc>
      </w:tr>
      <w:tr>
        <w:tc>
          <w:tcPr>
            <w:tcW w:type="dxa" w:w="2880"/>
          </w:tcPr>
          <w:p>
            <w:r>
              <w:t>Backup validation</w:t>
            </w:r>
          </w:p>
        </w:tc>
        <w:tc>
          <w:tcPr>
            <w:tcW w:type="dxa" w:w="2880"/>
          </w:tcPr>
          <w:p>
            <w:r>
              <w:t>Compliance Manager</w:t>
            </w:r>
          </w:p>
        </w:tc>
        <w:tc>
          <w:tcPr>
            <w:tcW w:type="dxa" w:w="2880"/>
          </w:tcPr>
          <w:p>
            <w:r>
              <w:t>Planned</w:t>
            </w:r>
          </w:p>
        </w:tc>
      </w:tr>
    </w:tbl>
    <w:p>
      <w:pPr>
        <w:pStyle w:val="Heading1"/>
      </w:pPr>
      <w:r>
        <w:t>Eligibility</w:t>
      </w:r>
    </w:p>
    <w:p>
      <w:r>
        <w:t>Evidence artifacts are retained in Slack for at least 36 months. Teams must log requests in Slack and track outcomes in Document Repository for audit readiness. This document aligns with PCI DSS requirements and supports US data residency expectations. Evidence artifacts are retained in Slack for at least 36 months.</w:t>
      </w:r>
    </w:p>
    <w:p>
      <w:r>
        <w:t>The process integrates with Document Repository and depends on Datadog for telemetry signals. All incidents are tagged with severity and mapped to service tiers. The Information Technology team coordinates with Compliance Manager to maintain operational readiness. Risk acceptance must be documented and revalidated each quarter.</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process integrates with Document Repository and depends on Datadog for telemetry signals.</w:t>
      </w:r>
    </w:p>
    <w:p>
      <w:pPr>
        <w:pStyle w:val="ListBullet"/>
      </w:pPr>
      <w:r>
        <w:t>The Information Technology organization uses Datadog to enforce consistent service baselines.</w:t>
      </w:r>
    </w:p>
    <w:p>
      <w:pPr>
        <w:pStyle w:val="Heading1"/>
      </w:pPr>
      <w:r>
        <w:t>Policy Requirements</w:t>
      </w:r>
    </w:p>
    <w:p>
      <w:r>
        <w:t>This document aligns with PCI DSS requirements and supports US data residency expectations. Teams must log requests in Slack and track outcomes in Document Repository for audit readiness.</w:t>
      </w:r>
    </w:p>
    <w:p>
      <w:r>
        <w:t>The Information Technology organization uses Datadog to enforce consistent service baselines. The Information Technology team coordinates with Compliance Manager to maintain operational readiness.</w:t>
      </w:r>
    </w:p>
    <w:p>
      <w:pPr>
        <w:pStyle w:val="ListBullet"/>
      </w:pPr>
      <w:r>
        <w:t>Evidence artifacts are retained in Slack for at least 36 months.</w:t>
      </w:r>
    </w:p>
    <w:p>
      <w:pPr>
        <w:pStyle w:val="ListBullet"/>
      </w:pPr>
      <w:r>
        <w:t>Escalations should follow the on-call rotation with a response target of 30 minutes.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Incident drill</w:t>
            </w:r>
          </w:p>
        </w:tc>
        <w:tc>
          <w:tcPr>
            <w:tcW w:type="dxa" w:w="2880"/>
          </w:tcPr>
          <w:p>
            <w:r>
              <w:t>Compliance Manager</w:t>
            </w:r>
          </w:p>
        </w:tc>
        <w:tc>
          <w:tcPr>
            <w:tcW w:type="dxa" w:w="2880"/>
          </w:tcPr>
          <w:p>
            <w:r>
              <w:t>In Progress</w:t>
            </w:r>
          </w:p>
        </w:tc>
      </w:tr>
    </w:tbl>
    <w:p>
      <w:pPr>
        <w:pStyle w:val="Heading1"/>
      </w:pPr>
      <w:r>
        <w:t>Process</w:t>
      </w:r>
    </w:p>
    <w:p>
      <w:r>
        <w:t>Stakeholders include the Compliance Manager, service owner, and compliance lead for approvals. Risk acceptance must be documented and revalidated each quarter. Audit sampling occurs monthly and is summarized in leadership dashboards. Teams must log requests in Slack and track outcomes in Document Repository for audit readiness.</w:t>
      </w:r>
    </w:p>
    <w:p>
      <w:r>
        <w:t>Systems are monitored via Datadog and alert routing in Slack. Evidence artifacts are retained in Slack for at least 36 months. Audit sampling occurs monthly and is summarized in leadership dashboards.</w:t>
      </w:r>
    </w:p>
    <w:p>
      <w:pPr>
        <w:pStyle w:val="ListBullet"/>
      </w:pPr>
      <w:r>
        <w:t>The Information Technology organization uses Datadog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Information Technology team coordinates with Compliance Manager to maintain operational readiness.</w:t>
      </w:r>
    </w:p>
    <w:p>
      <w:pPr>
        <w:pStyle w:val="ListBullet"/>
      </w:pPr>
      <w:r>
        <w:t>Escalations should follow the on-call rotation with a response target of 30 minutes.</w:t>
      </w:r>
    </w:p>
    <w:p>
      <w:pPr>
        <w:pStyle w:val="Heading1"/>
      </w:pPr>
      <w:r>
        <w:t>Exceptions and Escalation</w:t>
      </w:r>
    </w:p>
    <w:p>
      <w:r>
        <w:t>Evidence artifacts are retained in Slack for at least 36 months. The Information Technology organization uses Datadog to enforce consistent service baselines. The Information Technology organization uses Datadog to enforce consistent service baselines.</w:t>
      </w:r>
    </w:p>
    <w:p>
      <w:r>
        <w:t>We prioritize customer impact, data integrity, and regulatory alignment. Evidence artifacts are retained in Slack for at least 36 months. All incidents are tagged with severity and mapped to service tiers.</w:t>
      </w:r>
    </w:p>
    <w:p>
      <w:pPr>
        <w:pStyle w:val="ListBullet"/>
      </w:pPr>
      <w:r>
        <w:t>This document aligns with PCI DSS requirements and supports US data residency expectations.</w:t>
      </w:r>
    </w:p>
    <w:p>
      <w:pPr>
        <w:pStyle w:val="ListBullet"/>
      </w:pPr>
      <w:r>
        <w:t>Regional teams in US follow the same policy with localized legal review.</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