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Information Technology US v1.2</w:t>
      </w:r>
    </w:p>
    <w:p>
      <w:r>
        <w:t>Department: Information Technology</w:t>
      </w:r>
    </w:p>
    <w:p>
      <w:r>
        <w:t>Author: Morgan Kim</w:t>
      </w:r>
    </w:p>
    <w:p>
      <w:r>
        <w:t>Created date: 2026-02-11</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All incidents are tagged with severity and mapped to service tiers. Escalations should follow the on-call rotation with a response target of 30 minutes. The Information Technology organization uses Vault to enforce consistent service baselines.</w:t>
      </w:r>
    </w:p>
    <w:p>
      <w:r>
        <w:t>Evidence artifacts are retained in SAP for at least 24 months. The Information Technology team coordinates with Compliance Manager to maintain operational readiness.</w:t>
      </w:r>
    </w:p>
    <w:p>
      <w:pPr>
        <w:pStyle w:val="ListBullet"/>
      </w:pPr>
      <w:r>
        <w:t>Stakeholders include the Compliance Manager, service owner, and compliance lead for approvals.</w:t>
      </w:r>
    </w:p>
    <w:p>
      <w:pPr>
        <w:pStyle w:val="ListBullet"/>
      </w:pPr>
      <w:r>
        <w:t>The Information Technology organization uses Vault to enforce consistent service baselines.</w:t>
      </w:r>
    </w:p>
    <w:p>
      <w:pPr>
        <w:pStyle w:val="ListBullet"/>
      </w:pPr>
      <w:r>
        <w:t>We prioritize customer impact, data integrity, and regulatory alignment.</w:t>
      </w:r>
    </w:p>
    <w:p>
      <w:pPr>
        <w:pStyle w:val="ListBullet"/>
      </w:pPr>
      <w:r>
        <w:t>This document aligns with GDPR requirements and supports US data residency expectations.</w:t>
      </w:r>
    </w:p>
    <w:p>
      <w:pPr>
        <w:pStyle w:val="ListBullet"/>
      </w:pPr>
      <w:r>
        <w:t>Teams must log requests in SAP and track outcomes in Identity Access Gateway for audit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Information Technology</w:t>
            </w:r>
          </w:p>
        </w:tc>
        <w:tc>
          <w:tcPr>
            <w:tcW w:type="dxa" w:w="2880"/>
          </w:tcPr>
          <w:p>
            <w:r>
              <w:t>Planned</w:t>
            </w:r>
          </w:p>
        </w:tc>
      </w:tr>
      <w:tr>
        <w:tc>
          <w:tcPr>
            <w:tcW w:type="dxa" w:w="2880"/>
          </w:tcPr>
          <w:p>
            <w:r>
              <w:t>Access review</w:t>
            </w:r>
          </w:p>
        </w:tc>
        <w:tc>
          <w:tcPr>
            <w:tcW w:type="dxa" w:w="2880"/>
          </w:tcPr>
          <w:p>
            <w:r>
              <w:t>Compliance Manager</w:t>
            </w:r>
          </w:p>
        </w:tc>
        <w:tc>
          <w:tcPr>
            <w:tcW w:type="dxa" w:w="2880"/>
          </w:tcPr>
          <w:p>
            <w:r>
              <w:t>Complete</w:t>
            </w:r>
          </w:p>
        </w:tc>
      </w:tr>
    </w:tbl>
    <w:p>
      <w:pPr>
        <w:pStyle w:val="Heading1"/>
      </w:pPr>
      <w:r>
        <w:t>Eligibility</w:t>
      </w:r>
    </w:p>
    <w:p>
      <w:r>
        <w:t>This document aligns with GDPR requirements and supports US data residency expectations. The process integrates with Identity Access Gateway and depends on Vault for telemetry signals. The process integrates with Identity Access Gateway and depends on Vault for telemetry signals.</w:t>
      </w:r>
    </w:p>
    <w:p>
      <w:r>
        <w:t>Systems are monitored via Vault and alert routing in SAP. All incidents are tagged with severity and mapped to service tiers.</w:t>
      </w:r>
    </w:p>
    <w:p>
      <w:pPr>
        <w:pStyle w:val="ListBullet"/>
      </w:pPr>
      <w:r>
        <w:t>Escalations should follow the on-call rotation with a response target of 30 minutes.</w:t>
      </w:r>
    </w:p>
    <w:p>
      <w:pPr>
        <w:pStyle w:val="ListBullet"/>
      </w:pPr>
      <w:r>
        <w:t>Teams must log requests in SAP and track outcomes in Identity Access Gateway for audit readiness.</w:t>
      </w:r>
    </w:p>
    <w:p>
      <w:pPr>
        <w:pStyle w:val="ListBullet"/>
      </w:pPr>
      <w:r>
        <w:t>Teams must log requests in SAP and track outcomes in Identity Access Gateway for audit readiness.</w:t>
      </w:r>
    </w:p>
    <w:p>
      <w:pPr>
        <w:pStyle w:val="ListBullet"/>
      </w:pPr>
      <w:r>
        <w:t>The Information Technology organization uses Vault to enforce consistent service baselines.</w:t>
      </w:r>
    </w:p>
    <w:p>
      <w:pPr>
        <w:pStyle w:val="ListBullet"/>
      </w:pPr>
      <w:r>
        <w:t>Systems are monitored via Vault and alert routing in SAP.</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Vendor check</w:t>
            </w:r>
          </w:p>
        </w:tc>
        <w:tc>
          <w:tcPr>
            <w:tcW w:type="dxa" w:w="2880"/>
          </w:tcPr>
          <w:p>
            <w:r>
              <w:t>Compliance Manager</w:t>
            </w:r>
          </w:p>
        </w:tc>
        <w:tc>
          <w:tcPr>
            <w:tcW w:type="dxa" w:w="2880"/>
          </w:tcPr>
          <w:p>
            <w:r>
              <w:t>Blocked</w:t>
            </w:r>
          </w:p>
        </w:tc>
      </w:tr>
      <w:tr>
        <w:tc>
          <w:tcPr>
            <w:tcW w:type="dxa" w:w="2880"/>
          </w:tcPr>
          <w:p>
            <w:r>
              <w:t>Access review</w:t>
            </w:r>
          </w:p>
        </w:tc>
        <w:tc>
          <w:tcPr>
            <w:tcW w:type="dxa" w:w="2880"/>
          </w:tcPr>
          <w:p>
            <w:r>
              <w:t>Information Technology</w:t>
            </w:r>
          </w:p>
        </w:tc>
        <w:tc>
          <w:tcPr>
            <w:tcW w:type="dxa" w:w="2880"/>
          </w:tcPr>
          <w:p>
            <w:r>
              <w:t>Planned</w:t>
            </w:r>
          </w:p>
        </w:tc>
      </w:tr>
    </w:tbl>
    <w:p>
      <w:pPr>
        <w:pStyle w:val="Heading1"/>
      </w:pPr>
      <w:r>
        <w:t>Policy Requirements</w:t>
      </w:r>
    </w:p>
    <w:p>
      <w:r>
        <w:t>All changes require peer review and validation in the Identity Access Gateway before production promotion. The process integrates with Identity Access Gateway and depends on Vault for telemetry signals.</w:t>
      </w:r>
    </w:p>
    <w:p>
      <w:r>
        <w:t>Evidence artifacts are retained in SAP for at least 24 months. Audit sampling occurs monthly and is summarized in leadership dashboards. Escalations should follow the on-call rotation with a response target of 30 minutes.</w:t>
      </w:r>
    </w:p>
    <w:p>
      <w:pPr>
        <w:pStyle w:val="ListBullet"/>
      </w:pPr>
      <w:r>
        <w:t>This document aligns with GDPR requirements and supports US data residency expectations.</w:t>
      </w:r>
    </w:p>
    <w:p>
      <w:pPr>
        <w:pStyle w:val="ListBullet"/>
      </w:pPr>
      <w:r>
        <w:t>Systems are monitored via Vault and alert routing in SAP.</w:t>
      </w:r>
    </w:p>
    <w:p>
      <w:pPr>
        <w:pStyle w:val="ListBullet"/>
      </w:pPr>
      <w:r>
        <w:t>The process integrates with Identity Access Gateway and depends on Vault for telemetry signals.</w:t>
      </w:r>
    </w:p>
    <w:p>
      <w:pPr>
        <w:pStyle w:val="ListBullet"/>
      </w:pPr>
      <w:r>
        <w:t>Stakeholders include the Compliance Manager, service owner, and compliance lead for approvals.</w:t>
      </w:r>
    </w:p>
    <w:p>
      <w:pPr>
        <w:pStyle w:val="ListBullet"/>
      </w:pPr>
      <w:r>
        <w:t>Teams must log requests in SAP and track outcomes in Identity Access Gateway for audit readiness.</w:t>
      </w:r>
    </w:p>
    <w:p>
      <w:pPr>
        <w:pStyle w:val="ListBullet"/>
      </w:pPr>
      <w:r>
        <w:t>Teams must log requests in SAP and track outcomes in Identity Access Gateway for audit readiness.</w:t>
      </w:r>
    </w:p>
    <w:p>
      <w:pPr>
        <w:pStyle w:val="Heading1"/>
      </w:pPr>
      <w:r>
        <w:t>Process</w:t>
      </w:r>
    </w:p>
    <w:p>
      <w:r>
        <w:t>We prioritize customer impact, data integrity, and regulatory alignment. Evidence artifacts are retained in SAP for at least 24 months. We prioritize customer impact, data integrity, and regulatory alignment.</w:t>
      </w:r>
    </w:p>
    <w:p>
      <w:pPr>
        <w:pStyle w:val="ListBullet"/>
      </w:pPr>
      <w:r>
        <w:t>Stakeholders include the Compliance Manager, service owner, and compliance lead for approvals.</w:t>
      </w:r>
    </w:p>
    <w:p>
      <w:pPr>
        <w:pStyle w:val="ListBullet"/>
      </w:pPr>
      <w:r>
        <w:t>All incidents are tagged with severity and mapped to service tiers.</w:t>
      </w:r>
    </w:p>
    <w:p>
      <w:pPr>
        <w:pStyle w:val="ListBullet"/>
      </w:pPr>
      <w:r>
        <w:t>All incidents are tagged with severity and mapped to service tiers.</w:t>
      </w:r>
    </w:p>
    <w:p>
      <w:pPr>
        <w:pStyle w:val="Heading1"/>
      </w:pPr>
      <w:r>
        <w:t>Exceptions and Escalation</w:t>
      </w:r>
    </w:p>
    <w:p>
      <w:r>
        <w:t>The Information Technology organization uses Vault to enforce consistent service baselines. The Information Technology team coordinates with Compliance Manager to maintain operational readiness. The process integrates with Identity Access Gateway and depends on Vault for telemetry signals. The Information Technology team coordinates with Compliance Manager to maintain operational readiness.</w:t>
      </w:r>
    </w:p>
    <w:p>
      <w:r>
        <w:t>Teams must log requests in SAP and track outcomes in Identity Access Gateway for audit readiness. We prioritize customer impact, data integrity, and regulatory alignment.</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The Information Technology organization uses Vault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