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HR Policies - Legal EU v1.2</w:t>
      </w:r>
    </w:p>
    <w:p>
      <w:r>
        <w:t>Department: Legal</w:t>
      </w:r>
    </w:p>
    <w:p>
      <w:r>
        <w:t>Author: Avery Patel</w:t>
      </w:r>
    </w:p>
    <w:p>
      <w:r>
        <w:t>Created date: 2024-06-13</w:t>
      </w:r>
    </w:p>
    <w:p>
      <w:r>
        <w:t>Region: EU</w:t>
      </w:r>
    </w:p>
    <w:p>
      <w:r>
        <w:t>Version: 1.2</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Purpose and Scope</w:t>
      </w:r>
    </w:p>
    <w:p>
      <w:r>
        <w:t>We prioritize customer impact, data integrity, and regulatory alignment. Escalations should follow the on-call rotation with a response target of 15 minutes. Escalations should follow the on-call rotation with a response target of 15 minutes. All incidents are tagged with severity and mapped to service tiers.</w:t>
      </w:r>
    </w:p>
    <w:p>
      <w:r>
        <w:t>Teams must log requests in Zoom and track outcomes in ERP System for audit readiness. The Legal organization uses Snowflake to enforce consistent service baselines. All incidents are tagged with severity and mapped to service tiers.</w:t>
      </w:r>
    </w:p>
    <w:p>
      <w:pPr>
        <w:pStyle w:val="ListBullet"/>
      </w:pPr>
      <w:r>
        <w:t>Systems are monitored via Snowflake and alert routing in Zoom.</w:t>
      </w:r>
    </w:p>
    <w:p>
      <w:pPr>
        <w:pStyle w:val="ListBullet"/>
      </w:pPr>
      <w:r>
        <w:t>Teams must log requests in Zoom and track outcomes in ERP System for audit readiness.</w:t>
      </w:r>
    </w:p>
    <w:p>
      <w:pPr>
        <w:pStyle w:val="ListBullet"/>
      </w:pPr>
      <w:r>
        <w:t>Escalations should follow the on-call rotation with a response target of 15 minutes.</w:t>
      </w:r>
    </w:p>
    <w:p>
      <w:pPr>
        <w:pStyle w:val="ListBullet"/>
      </w:pPr>
      <w:r>
        <w:t>This document aligns with SOC 2 requirements and supports EU data residency expectations.</w:t>
      </w:r>
    </w:p>
    <w:p>
      <w:pPr>
        <w:pStyle w:val="ListBullet"/>
      </w:pPr>
      <w:r>
        <w:t>All incidents are tagged with severity and mapped to service tiers.</w:t>
      </w:r>
    </w:p>
    <w:p>
      <w:pPr>
        <w:pStyle w:val="ListBullet"/>
      </w:pPr>
      <w:r>
        <w:t>Systems are monitored via Snowflake and alert routing in Zoom.</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Access review</w:t>
            </w:r>
          </w:p>
        </w:tc>
        <w:tc>
          <w:tcPr>
            <w:tcW w:type="dxa" w:w="2880"/>
          </w:tcPr>
          <w:p>
            <w:r>
              <w:t>Operations</w:t>
            </w:r>
          </w:p>
        </w:tc>
        <w:tc>
          <w:tcPr>
            <w:tcW w:type="dxa" w:w="2880"/>
          </w:tcPr>
          <w:p>
            <w:r>
              <w:t>Complete</w:t>
            </w:r>
          </w:p>
        </w:tc>
      </w:tr>
      <w:tr>
        <w:tc>
          <w:tcPr>
            <w:tcW w:type="dxa" w:w="2880"/>
          </w:tcPr>
          <w:p>
            <w:r>
              <w:t>Backup validation</w:t>
            </w:r>
          </w:p>
        </w:tc>
        <w:tc>
          <w:tcPr>
            <w:tcW w:type="dxa" w:w="2880"/>
          </w:tcPr>
          <w:p>
            <w:r>
              <w:t>Operations</w:t>
            </w:r>
          </w:p>
        </w:tc>
        <w:tc>
          <w:tcPr>
            <w:tcW w:type="dxa" w:w="2880"/>
          </w:tcPr>
          <w:p>
            <w:r>
              <w:t>Planned</w:t>
            </w:r>
          </w:p>
        </w:tc>
      </w:tr>
      <w:tr>
        <w:tc>
          <w:tcPr>
            <w:tcW w:type="dxa" w:w="2880"/>
          </w:tcPr>
          <w:p>
            <w:r>
              <w:t>Backup validation</w:t>
            </w:r>
          </w:p>
        </w:tc>
        <w:tc>
          <w:tcPr>
            <w:tcW w:type="dxa" w:w="2880"/>
          </w:tcPr>
          <w:p>
            <w:r>
              <w:t>Legal</w:t>
            </w:r>
          </w:p>
        </w:tc>
        <w:tc>
          <w:tcPr>
            <w:tcW w:type="dxa" w:w="2880"/>
          </w:tcPr>
          <w:p>
            <w:r>
              <w:t>Planned</w:t>
            </w:r>
          </w:p>
        </w:tc>
      </w:tr>
      <w:tr>
        <w:tc>
          <w:tcPr>
            <w:tcW w:type="dxa" w:w="2880"/>
          </w:tcPr>
          <w:p>
            <w:r>
              <w:t>Incident drill</w:t>
            </w:r>
          </w:p>
        </w:tc>
        <w:tc>
          <w:tcPr>
            <w:tcW w:type="dxa" w:w="2880"/>
          </w:tcPr>
          <w:p>
            <w:r>
              <w:t>Legal</w:t>
            </w:r>
          </w:p>
        </w:tc>
        <w:tc>
          <w:tcPr>
            <w:tcW w:type="dxa" w:w="2880"/>
          </w:tcPr>
          <w:p>
            <w:r>
              <w:t>Complete</w:t>
            </w:r>
          </w:p>
        </w:tc>
      </w:tr>
    </w:tbl>
    <w:p>
      <w:pPr>
        <w:pStyle w:val="Heading1"/>
      </w:pPr>
      <w:r>
        <w:t>Eligibility</w:t>
      </w:r>
    </w:p>
    <w:p>
      <w:r>
        <w:t>Teams must log requests in Zoom and track outcomes in ERP System for audit readiness. The Legal team coordinates with Platform Engineer to maintain operational readiness. Audit sampling occurs monthly and is summarized in leadership dashboards. We prioritize customer impact, data integrity, and regulatory alignment.</w:t>
      </w:r>
    </w:p>
    <w:p>
      <w:r>
        <w:t>Evidence artifacts are retained in Zoom for at least 12 months. Risk acceptance must be documented and revalidated each quarter. The Legal team coordinates with Platform Engineer to maintain operational readiness.</w:t>
      </w:r>
    </w:p>
    <w:p>
      <w:pPr>
        <w:pStyle w:val="ListBullet"/>
      </w:pPr>
      <w:r>
        <w:t>This document aligns with SOC 2 requirements and supports EU data residency expectations.</w:t>
      </w:r>
    </w:p>
    <w:p>
      <w:pPr>
        <w:pStyle w:val="ListBullet"/>
      </w:pPr>
      <w:r>
        <w:t>Evidence artifacts are retained in Zoom for at least 12 months.</w:t>
      </w:r>
    </w:p>
    <w:p>
      <w:pPr>
        <w:pStyle w:val="ListBullet"/>
      </w:pPr>
      <w:r>
        <w:t>Evidence artifacts are retained in Zoom for at least 12 months.</w:t>
      </w:r>
    </w:p>
    <w:p>
      <w:pPr>
        <w:pStyle w:val="ListBullet"/>
      </w:pPr>
      <w:r>
        <w:t>All incidents are tagged with severity and mapped to service tiers.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Vendor check</w:t>
            </w:r>
          </w:p>
        </w:tc>
        <w:tc>
          <w:tcPr>
            <w:tcW w:type="dxa" w:w="2880"/>
          </w:tcPr>
          <w:p>
            <w:r>
              <w:t>Platform Engineer</w:t>
            </w:r>
          </w:p>
        </w:tc>
        <w:tc>
          <w:tcPr>
            <w:tcW w:type="dxa" w:w="2880"/>
          </w:tcPr>
          <w:p>
            <w:r>
              <w:t>Complete</w:t>
            </w:r>
          </w:p>
        </w:tc>
      </w:tr>
      <w:tr>
        <w:tc>
          <w:tcPr>
            <w:tcW w:type="dxa" w:w="2880"/>
          </w:tcPr>
          <w:p>
            <w:r>
              <w:t>Vendor check</w:t>
            </w:r>
          </w:p>
        </w:tc>
        <w:tc>
          <w:tcPr>
            <w:tcW w:type="dxa" w:w="2880"/>
          </w:tcPr>
          <w:p>
            <w:r>
              <w:t>Security</w:t>
            </w:r>
          </w:p>
        </w:tc>
        <w:tc>
          <w:tcPr>
            <w:tcW w:type="dxa" w:w="2880"/>
          </w:tcPr>
          <w:p>
            <w:r>
              <w:t>Planned</w:t>
            </w:r>
          </w:p>
        </w:tc>
      </w:tr>
      <w:tr>
        <w:tc>
          <w:tcPr>
            <w:tcW w:type="dxa" w:w="2880"/>
          </w:tcPr>
          <w:p>
            <w:r>
              <w:t>Access review</w:t>
            </w:r>
          </w:p>
        </w:tc>
        <w:tc>
          <w:tcPr>
            <w:tcW w:type="dxa" w:w="2880"/>
          </w:tcPr>
          <w:p>
            <w:r>
              <w:t>Operations</w:t>
            </w:r>
          </w:p>
        </w:tc>
        <w:tc>
          <w:tcPr>
            <w:tcW w:type="dxa" w:w="2880"/>
          </w:tcPr>
          <w:p>
            <w:r>
              <w:t>Blocked</w:t>
            </w:r>
          </w:p>
        </w:tc>
      </w:tr>
    </w:tbl>
    <w:p>
      <w:pPr>
        <w:pStyle w:val="Heading1"/>
      </w:pPr>
      <w:r>
        <w:t>Policy Requirements</w:t>
      </w:r>
    </w:p>
    <w:p>
      <w:r>
        <w:t>The Legal organization uses Snowflake to enforce consistent service baselines. Regional teams in EU follow the same policy with localized legal review. All changes require peer review and validation in the ERP System before production promotion.</w:t>
      </w:r>
    </w:p>
    <w:p>
      <w:r>
        <w:t>Stakeholders include the Platform Engineer, service owner, and compliance lead for approvals. Audit sampling occurs monthly and is summarized in leadership dashboards. Escalations should follow the on-call rotation with a response target of 15 minutes.</w:t>
      </w:r>
    </w:p>
    <w:p>
      <w:pPr>
        <w:pStyle w:val="ListBullet"/>
      </w:pPr>
      <w:r>
        <w:t>Regional teams in EU follow the same policy with localized legal review.</w:t>
      </w:r>
    </w:p>
    <w:p>
      <w:pPr>
        <w:pStyle w:val="ListBullet"/>
      </w:pPr>
      <w:r>
        <w:t>The process integrates with ERP System and depends on Snowflake for telemetry signals.</w:t>
      </w:r>
    </w:p>
    <w:p>
      <w:pPr>
        <w:pStyle w:val="ListBullet"/>
      </w:pPr>
      <w:r>
        <w:t>The Legal team coordinates with Platform Engineer to maintain operational readiness.</w:t>
      </w:r>
    </w:p>
    <w:p>
      <w:pPr>
        <w:pStyle w:val="Heading1"/>
      </w:pPr>
      <w:r>
        <w:t>Process</w:t>
      </w:r>
    </w:p>
    <w:p>
      <w:r>
        <w:t>The process integrates with ERP System and depends on Snowflake for telemetry signals. Risk acceptance must be documented and revalidated each quarter.</w:t>
      </w:r>
    </w:p>
    <w:p>
      <w:r>
        <w:t>This document aligns with SOC 2 requirements and supports EU data residency expectations. The Legal team coordinates with Platform Engineer to maintain operational readiness. Escalations should follow the on-call rotation with a response target of 15 minutes. The Legal organization uses Snowflake to enforce consistent service baselines.</w:t>
      </w:r>
    </w:p>
    <w:p>
      <w:pPr>
        <w:pStyle w:val="ListBullet"/>
      </w:pPr>
      <w:r>
        <w:t>This document aligns with SOC 2 requirements and supports EU data residency expectations.</w:t>
      </w:r>
    </w:p>
    <w:p>
      <w:pPr>
        <w:pStyle w:val="ListBullet"/>
      </w:pPr>
      <w:r>
        <w:t>All incidents are tagged with severity and mapped to service tiers.</w:t>
      </w:r>
    </w:p>
    <w:p>
      <w:pPr>
        <w:pStyle w:val="ListBullet"/>
      </w:pPr>
      <w:r>
        <w:t>Audit sampling occurs monthly and is summarized in leadership dashboards.</w:t>
      </w:r>
    </w:p>
    <w:p>
      <w:pPr>
        <w:pStyle w:val="Heading1"/>
      </w:pPr>
      <w:r>
        <w:t>Exceptions and Escalation</w:t>
      </w:r>
    </w:p>
    <w:p>
      <w:r>
        <w:t>All incidents are tagged with severity and mapped to service tiers. The process integrates with ERP System and depends on Snowflake for telemetry signals.</w:t>
      </w:r>
    </w:p>
    <w:p>
      <w:r>
        <w:t>Systems are monitored via Snowflake and alert routing in Zoom. Risk acceptance must be documented and revalidated each quarter. Teams must log requests in Zoom and track outcomes in ERP System for audit readiness.</w:t>
      </w:r>
    </w:p>
    <w:p>
      <w:pPr>
        <w:pStyle w:val="ListBullet"/>
      </w:pPr>
      <w:r>
        <w:t>Teams must log requests in Zoom and track outcomes in ERP System for audit readiness.</w:t>
      </w:r>
    </w:p>
    <w:p>
      <w:pPr>
        <w:pStyle w:val="ListBullet"/>
      </w:pPr>
      <w:r>
        <w:t>We prioritize customer impact, data integrity, and regulatory alignment.</w:t>
      </w:r>
    </w:p>
    <w:p>
      <w:pPr>
        <w:pStyle w:val="ListBullet"/>
      </w:pPr>
      <w:r>
        <w:t>The process integrates with ERP System and depends on Snowflake for telemetry signals.</w:t>
      </w:r>
    </w:p>
    <w:p>
      <w:pPr>
        <w:pStyle w:val="ListBullet"/>
      </w:pPr>
      <w:r>
        <w:t>The process integrates with ERP System and depends on Snowflake for telemetry signals.</w:t>
      </w:r>
    </w:p>
    <w:p>
      <w:pPr>
        <w:pStyle w:val="ListBullet"/>
      </w:pPr>
      <w:r>
        <w:t>Regional teams in EU follow the same policy with localized legal review.</w:t>
      </w:r>
    </w:p>
    <w:p>
      <w:pPr>
        <w:pStyle w:val="ListBullet"/>
      </w:pPr>
      <w:r>
        <w:t>All changes require peer review and validation in the ERP System before production promotion.</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Patch window</w:t>
            </w:r>
          </w:p>
        </w:tc>
        <w:tc>
          <w:tcPr>
            <w:tcW w:type="dxa" w:w="2880"/>
          </w:tcPr>
          <w:p>
            <w:r>
              <w:t>Security</w:t>
            </w:r>
          </w:p>
        </w:tc>
        <w:tc>
          <w:tcPr>
            <w:tcW w:type="dxa" w:w="2880"/>
          </w:tcPr>
          <w:p>
            <w:r>
              <w:t>Blocked</w:t>
            </w:r>
          </w:p>
        </w:tc>
      </w:tr>
      <w:tr>
        <w:tc>
          <w:tcPr>
            <w:tcW w:type="dxa" w:w="2880"/>
          </w:tcPr>
          <w:p>
            <w:r>
              <w:t>Access review</w:t>
            </w:r>
          </w:p>
        </w:tc>
        <w:tc>
          <w:tcPr>
            <w:tcW w:type="dxa" w:w="2880"/>
          </w:tcPr>
          <w:p>
            <w:r>
              <w:t>Platform Engineer</w:t>
            </w:r>
          </w:p>
        </w:tc>
        <w:tc>
          <w:tcPr>
            <w:tcW w:type="dxa" w:w="2880"/>
          </w:tcPr>
          <w:p>
            <w:r>
              <w:t>In Progress</w:t>
            </w:r>
          </w:p>
        </w:tc>
      </w:tr>
      <w:tr>
        <w:tc>
          <w:tcPr>
            <w:tcW w:type="dxa" w:w="2880"/>
          </w:tcPr>
          <w:p>
            <w:r>
              <w:t>Access review</w:t>
            </w:r>
          </w:p>
        </w:tc>
        <w:tc>
          <w:tcPr>
            <w:tcW w:type="dxa" w:w="2880"/>
          </w:tcPr>
          <w:p>
            <w:r>
              <w:t>Legal</w:t>
            </w:r>
          </w:p>
        </w:tc>
        <w:tc>
          <w:tcPr>
            <w:tcW w:type="dxa" w:w="2880"/>
          </w:tcPr>
          <w:p>
            <w:r>
              <w:t>In Progress</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