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Legal US v2.0</w:t>
      </w:r>
    </w:p>
    <w:p>
      <w:r>
        <w:t>Department: Legal</w:t>
      </w:r>
    </w:p>
    <w:p>
      <w:r>
        <w:t>Author: Jordan Garcia</w:t>
      </w:r>
    </w:p>
    <w:p>
      <w:r>
        <w:t>Created date: 2024-01-22</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We prioritize customer impact, data integrity, and regulatory alignment. Evidence artifacts are retained in Slack for at least 12 months. All changes require peer review and validation in the Monitoring Stack before production promotion.</w:t>
      </w:r>
    </w:p>
    <w:p>
      <w:pPr>
        <w:pStyle w:val="ListBullet"/>
      </w:pPr>
      <w:r>
        <w:t>The Legal team coordinates with Product Manager to maintain operational readiness.</w:t>
      </w:r>
    </w:p>
    <w:p>
      <w:pPr>
        <w:pStyle w:val="ListBullet"/>
      </w:pPr>
      <w:r>
        <w:t>Stakeholders include the Product Manager, service owner, and compliance lead for approvals.</w:t>
      </w:r>
    </w:p>
    <w:p>
      <w:pPr>
        <w:pStyle w:val="ListBullet"/>
      </w:pPr>
      <w:r>
        <w:t>Escalations should follow the on-call rotation with a response target of 15 minutes.</w:t>
      </w:r>
    </w:p>
    <w:p>
      <w:pPr>
        <w:pStyle w:val="ListBullet"/>
      </w:pPr>
      <w:r>
        <w:t>All changes require peer review and validation in the Monitoring Stack before production promotion.</w:t>
      </w:r>
    </w:p>
    <w:p>
      <w:pPr>
        <w:pStyle w:val="ListBullet"/>
      </w:pPr>
      <w:r>
        <w:t>We prioritize customer impact, data integrity, and regulatory alignment.</w:t>
      </w:r>
    </w:p>
    <w:p>
      <w:pPr>
        <w:pStyle w:val="ListBullet"/>
      </w:pPr>
      <w:r>
        <w:t>The Legal organization uses Prometheus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Legal</w:t>
            </w:r>
          </w:p>
        </w:tc>
        <w:tc>
          <w:tcPr>
            <w:tcW w:type="dxa" w:w="2880"/>
          </w:tcPr>
          <w:p>
            <w:r>
              <w:t>In Progress</w:t>
            </w:r>
          </w:p>
        </w:tc>
      </w:tr>
      <w:tr>
        <w:tc>
          <w:tcPr>
            <w:tcW w:type="dxa" w:w="2880"/>
          </w:tcPr>
          <w:p>
            <w:r>
              <w:t>Access review</w:t>
            </w:r>
          </w:p>
        </w:tc>
        <w:tc>
          <w:tcPr>
            <w:tcW w:type="dxa" w:w="2880"/>
          </w:tcPr>
          <w:p>
            <w:r>
              <w:t>Operations</w:t>
            </w:r>
          </w:p>
        </w:tc>
        <w:tc>
          <w:tcPr>
            <w:tcW w:type="dxa" w:w="2880"/>
          </w:tcPr>
          <w:p>
            <w:r>
              <w:t>In Progress</w:t>
            </w:r>
          </w:p>
        </w:tc>
      </w:tr>
    </w:tbl>
    <w:p>
      <w:pPr>
        <w:pStyle w:val="Heading1"/>
      </w:pPr>
      <w:r>
        <w:t>Eligibility</w:t>
      </w:r>
    </w:p>
    <w:p>
      <w:r>
        <w:t>The Legal organization uses Prometheus to enforce consistent service baselines. The process integrates with Monitoring Stack and depends on Prometheus for telemetry signals. All changes require peer review and validation in the Monitoring Stack before production promotion. Audit sampling occurs monthly and is summarized in leadership dashboards.</w:t>
      </w:r>
    </w:p>
    <w:p>
      <w:r>
        <w:t>Systems are monitored via Prometheus and alert routing in Slack. This document aligns with SOC 2 requirements and supports US data residency expectations.</w:t>
      </w:r>
    </w:p>
    <w:p>
      <w:pPr>
        <w:pStyle w:val="ListBullet"/>
      </w:pPr>
      <w:r>
        <w:t>Teams must log requests in Slack and track outcomes in Monitoring Stack for audit readiness.</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The Legal organization uses Prometheus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Legal</w:t>
            </w:r>
          </w:p>
        </w:tc>
        <w:tc>
          <w:tcPr>
            <w:tcW w:type="dxa" w:w="2880"/>
          </w:tcPr>
          <w:p>
            <w:r>
              <w:t>Blocked</w:t>
            </w:r>
          </w:p>
        </w:tc>
      </w:tr>
      <w:tr>
        <w:tc>
          <w:tcPr>
            <w:tcW w:type="dxa" w:w="2880"/>
          </w:tcPr>
          <w:p>
            <w:r>
              <w:t>Patch window</w:t>
            </w:r>
          </w:p>
        </w:tc>
        <w:tc>
          <w:tcPr>
            <w:tcW w:type="dxa" w:w="2880"/>
          </w:tcPr>
          <w:p>
            <w:r>
              <w:t>Product Manager</w:t>
            </w:r>
          </w:p>
        </w:tc>
        <w:tc>
          <w:tcPr>
            <w:tcW w:type="dxa" w:w="2880"/>
          </w:tcPr>
          <w:p>
            <w:r>
              <w:t>In Progress</w:t>
            </w:r>
          </w:p>
        </w:tc>
      </w:tr>
      <w:tr>
        <w:tc>
          <w:tcPr>
            <w:tcW w:type="dxa" w:w="2880"/>
          </w:tcPr>
          <w:p>
            <w:r>
              <w:t>Access review</w:t>
            </w:r>
          </w:p>
        </w:tc>
        <w:tc>
          <w:tcPr>
            <w:tcW w:type="dxa" w:w="2880"/>
          </w:tcPr>
          <w:p>
            <w:r>
              <w:t>Product Manager</w:t>
            </w:r>
          </w:p>
        </w:tc>
        <w:tc>
          <w:tcPr>
            <w:tcW w:type="dxa" w:w="2880"/>
          </w:tcPr>
          <w:p>
            <w:r>
              <w:t>Complete</w:t>
            </w:r>
          </w:p>
        </w:tc>
      </w:tr>
      <w:tr>
        <w:tc>
          <w:tcPr>
            <w:tcW w:type="dxa" w:w="2880"/>
          </w:tcPr>
          <w:p>
            <w:r>
              <w:t>Backup validation</w:t>
            </w:r>
          </w:p>
        </w:tc>
        <w:tc>
          <w:tcPr>
            <w:tcW w:type="dxa" w:w="2880"/>
          </w:tcPr>
          <w:p>
            <w:r>
              <w:t>Product Manager</w:t>
            </w:r>
          </w:p>
        </w:tc>
        <w:tc>
          <w:tcPr>
            <w:tcW w:type="dxa" w:w="2880"/>
          </w:tcPr>
          <w:p>
            <w:r>
              <w:t>Blocked</w:t>
            </w:r>
          </w:p>
        </w:tc>
      </w:tr>
    </w:tbl>
    <w:p>
      <w:pPr>
        <w:pStyle w:val="Heading1"/>
      </w:pPr>
      <w:r>
        <w:t>Policy Requirements</w:t>
      </w:r>
    </w:p>
    <w:p>
      <w:r>
        <w:t>The process integrates with Monitoring Stack and depends on Prometheus for telemetry signals. Escalations should follow the on-call rotation with a response target of 15 minutes. All changes require peer review and validation in the Monitoring Stack before production promotion.</w:t>
      </w:r>
    </w:p>
    <w:p>
      <w:pPr>
        <w:pStyle w:val="ListBullet"/>
      </w:pPr>
      <w:r>
        <w:t>This document aligns with SOC 2 requirements and supports US data residency expectations.</w:t>
      </w:r>
    </w:p>
    <w:p>
      <w:pPr>
        <w:pStyle w:val="ListBullet"/>
      </w:pPr>
      <w:r>
        <w:t>This document aligns with SOC 2 requirements and supports US data residency expectations.</w:t>
      </w:r>
    </w:p>
    <w:p>
      <w:pPr>
        <w:pStyle w:val="ListBullet"/>
      </w:pPr>
      <w:r>
        <w:t>The process integrates with Monitoring Stack and depends on Prometheus for telemetry signals.</w:t>
      </w:r>
    </w:p>
    <w:p>
      <w:pPr>
        <w:pStyle w:val="ListBullet"/>
      </w:pPr>
      <w:r>
        <w:t>The Legal team coordinates with Product Manager to maintain operational readiness.</w:t>
      </w:r>
    </w:p>
    <w:p>
      <w:pPr>
        <w:pStyle w:val="Heading1"/>
      </w:pPr>
      <w:r>
        <w:t>Process</w:t>
      </w:r>
    </w:p>
    <w:p>
      <w:r>
        <w:t>The Legal organization uses Prometheus to enforce consistent service baselines. The process integrates with Monitoring Stack and depends on Prometheus for telemetry signals.</w:t>
      </w:r>
    </w:p>
    <w:p>
      <w:r>
        <w:t>All incidents are tagged with severity and mapped to service tiers. Systems are monitored via Prometheus and alert routing in Slack.</w:t>
      </w:r>
    </w:p>
    <w:p>
      <w:pPr>
        <w:pStyle w:val="ListBullet"/>
      </w:pPr>
      <w:r>
        <w:t>Teams must log requests in Slack and track outcomes in Monitoring Stack for audit readiness.</w:t>
      </w:r>
    </w:p>
    <w:p>
      <w:pPr>
        <w:pStyle w:val="ListBullet"/>
      </w:pPr>
      <w:r>
        <w:t>This document aligns with SOC 2 requirements and supports US data residency expectations.</w:t>
      </w:r>
    </w:p>
    <w:p>
      <w:pPr>
        <w:pStyle w:val="ListBullet"/>
      </w:pPr>
      <w:r>
        <w:t>Stakeholders include the Product Manager, service owner, and compliance lead for approvals.</w:t>
      </w:r>
    </w:p>
    <w:p>
      <w:pPr>
        <w:pStyle w:val="ListBullet"/>
      </w:pPr>
      <w:r>
        <w:t>Evidence artifacts are retained in Slack for at least 12 months.</w:t>
      </w:r>
    </w:p>
    <w:p>
      <w:pPr>
        <w:pStyle w:val="ListBullet"/>
      </w:pPr>
      <w:r>
        <w:t>We prioritize customer impact, data integrity, and regulatory alignment.</w:t>
      </w:r>
    </w:p>
    <w:p>
      <w:pPr>
        <w:pStyle w:val="ListBullet"/>
      </w:pPr>
      <w:r>
        <w:t>This document aligns with SOC 2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Planned</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Vendor check</w:t>
            </w:r>
          </w:p>
        </w:tc>
        <w:tc>
          <w:tcPr>
            <w:tcW w:type="dxa" w:w="2880"/>
          </w:tcPr>
          <w:p>
            <w:r>
              <w:t>Operations</w:t>
            </w:r>
          </w:p>
        </w:tc>
        <w:tc>
          <w:tcPr>
            <w:tcW w:type="dxa" w:w="2880"/>
          </w:tcPr>
          <w:p>
            <w:r>
              <w:t>In Progress</w:t>
            </w:r>
          </w:p>
        </w:tc>
      </w:tr>
      <w:tr>
        <w:tc>
          <w:tcPr>
            <w:tcW w:type="dxa" w:w="2880"/>
          </w:tcPr>
          <w:p>
            <w:r>
              <w:t>Backup validation</w:t>
            </w:r>
          </w:p>
        </w:tc>
        <w:tc>
          <w:tcPr>
            <w:tcW w:type="dxa" w:w="2880"/>
          </w:tcPr>
          <w:p>
            <w:r>
              <w:t>Security</w:t>
            </w:r>
          </w:p>
        </w:tc>
        <w:tc>
          <w:tcPr>
            <w:tcW w:type="dxa" w:w="2880"/>
          </w:tcPr>
          <w:p>
            <w:r>
              <w:t>Planned</w:t>
            </w:r>
          </w:p>
        </w:tc>
      </w:tr>
    </w:tbl>
    <w:p>
      <w:pPr>
        <w:pStyle w:val="Heading1"/>
      </w:pPr>
      <w:r>
        <w:t>Exceptions and Escalation</w:t>
      </w:r>
    </w:p>
    <w:p>
      <w:r>
        <w:t>Stakeholders include the Product Manager, service owner, and compliance lead for approvals. This document aligns with SOC 2 requirements and supports US data residency expectations.</w:t>
      </w:r>
    </w:p>
    <w:p>
      <w:r>
        <w:t>Stakeholders include the Product Manager, service owner, and compliance lead for approvals. Evidence artifacts are retained in Slack for at least 12 months. All changes require peer review and validation in the Monitoring Stack before production promotion. Stakeholders include the Product Manager, service owner, and compliance lead for approvals.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The Legal team coordinates with Product Manager to maintain operational readiness.</w:t>
      </w:r>
    </w:p>
    <w:p>
      <w:pPr>
        <w:pStyle w:val="ListBullet"/>
      </w:pPr>
      <w:r>
        <w:t>All changes require peer review and validation in the Monitoring Stack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Incident drill</w:t>
            </w:r>
          </w:p>
        </w:tc>
        <w:tc>
          <w:tcPr>
            <w:tcW w:type="dxa" w:w="2880"/>
          </w:tcPr>
          <w:p>
            <w:r>
              <w:t>Security</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