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Legal US v1.1</w:t>
      </w:r>
    </w:p>
    <w:p>
      <w:r>
        <w:t>Department: Legal</w:t>
      </w:r>
    </w:p>
    <w:p>
      <w:r>
        <w:t>Author: Morgan Nguyen</w:t>
      </w:r>
    </w:p>
    <w:p>
      <w:r>
        <w:t>Created date: 2024-09-18</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Evidence artifacts are retained in Zoom for at least 36 months. Audit sampling occurs monthly and is summarized in leadership dashboards. All changes require peer review and validation in the Payment Processing Service before production promotion. Evidence artifacts are retained in Zoom for at least 36 months.</w:t>
      </w:r>
    </w:p>
    <w:p>
      <w:r>
        <w:t>The process integrates with Payment Processing Service and depends on PostgreSQL for telemetry signals. The Legal team coordinates with Procurement Lead to maintain operational readiness.</w:t>
      </w:r>
    </w:p>
    <w:p>
      <w:pPr>
        <w:pStyle w:val="ListBullet"/>
      </w:pPr>
      <w:r>
        <w:t>Escalations should follow the on-call rotation with a response target of 30 minutes.</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Stakeholders include the Procurement Lead, service owner, and compliance lead for approvals.</w:t>
      </w:r>
    </w:p>
    <w:p>
      <w:pPr>
        <w:pStyle w:val="Heading1"/>
      </w:pPr>
      <w:r>
        <w:t>Eligibility</w:t>
      </w:r>
    </w:p>
    <w:p>
      <w:r>
        <w:t>Escalations should follow the on-call rotation with a response target of 30 minutes. Audit sampling occurs monthly and is summarized in leadership dashboards. Stakeholders include the Procurement Lead, service owner, and compliance lead for approvals. All incidents are tagged with severity and mapped to service tiers.</w:t>
      </w:r>
    </w:p>
    <w:p>
      <w:r>
        <w:t>The Legal team coordinates with Procurement Lead to maintain operational readiness. The Legal organization uses PostgreSQL to enforce consistent service baselines. This document aligns with PCI DSS requirements and supports US data residency expectations. The process integrates with Payment Processing Service and depends on PostgreSQL for telemetry signals.</w:t>
      </w:r>
    </w:p>
    <w:p>
      <w:pPr>
        <w:pStyle w:val="ListBullet"/>
      </w:pPr>
      <w:r>
        <w:t>The process integrates with Payment Processing Service and depends on PostgreSQL for telemetry signals.</w:t>
      </w:r>
    </w:p>
    <w:p>
      <w:pPr>
        <w:pStyle w:val="ListBullet"/>
      </w:pPr>
      <w:r>
        <w:t>The Legal organization uses PostgreSQL to enforce consistent service baselines.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The process integrates with Payment Processing Service and depends on PostgreSQL for telemetry signals.</w:t>
      </w:r>
    </w:p>
    <w:p>
      <w:pPr>
        <w:pStyle w:val="ListBullet"/>
      </w:pPr>
      <w:r>
        <w:t>This document aligns with PCI DSS requirements and supports US data residency expectations.</w:t>
      </w:r>
    </w:p>
    <w:p>
      <w:pPr>
        <w:pStyle w:val="Heading1"/>
      </w:pPr>
      <w:r>
        <w:t>Policy Requirements</w:t>
      </w:r>
    </w:p>
    <w:p>
      <w:r>
        <w:t>Escalations should follow the on-call rotation with a response target of 30 minutes. All changes require peer review and validation in the Payment Processing Service before production promotion.</w:t>
      </w:r>
    </w:p>
    <w:p>
      <w:r>
        <w:t>Systems are monitored via PostgreSQL and alert routing in Zoom. All changes require peer review and validation in the Payment Processing Service before production promotion.</w:t>
      </w:r>
    </w:p>
    <w:p>
      <w:pPr>
        <w:pStyle w:val="ListBullet"/>
      </w:pPr>
      <w:r>
        <w:t>We prioritize customer impact, data integrity, and regulatory alignment.</w:t>
      </w:r>
    </w:p>
    <w:p>
      <w:pPr>
        <w:pStyle w:val="ListBullet"/>
      </w:pPr>
      <w:r>
        <w:t>The Legal organization uses PostgreSQL to enforce consistent service baselines.</w:t>
      </w:r>
    </w:p>
    <w:p>
      <w:pPr>
        <w:pStyle w:val="ListBullet"/>
      </w:pPr>
      <w:r>
        <w:t>The process integrates with Payment Processing Service and depends on PostgreSQL for telemetry signals.</w:t>
      </w:r>
    </w:p>
    <w:p>
      <w:pPr>
        <w:pStyle w:val="ListBullet"/>
      </w:pPr>
      <w:r>
        <w:t>This document aligns with PCI DSS requirements and supports US data residency expectations.</w:t>
      </w:r>
    </w:p>
    <w:p>
      <w:pPr>
        <w:pStyle w:val="Heading1"/>
      </w:pPr>
      <w:r>
        <w:t>Process</w:t>
      </w:r>
    </w:p>
    <w:p>
      <w:r>
        <w:t>Regional teams in US follow the same policy with localized legal review. Teams must log requests in Zoom and track outcomes in Payment Processing Service for audit readiness. Stakeholders include the Procurement Lead, service owner, and compliance lead for approvals.</w:t>
      </w:r>
    </w:p>
    <w:p>
      <w:r>
        <w:t>This document aligns with PCI DSS requirements and supports US data residency expectations. We prioritize customer impact, data integrity, and regulatory alignment. All changes require peer review and validation in the Payment Processing Service before production promotion. Evidence artifacts are retained in Zoom for at least 36 months.</w:t>
      </w:r>
    </w:p>
    <w:p>
      <w:pPr>
        <w:pStyle w:val="ListBullet"/>
      </w:pPr>
      <w:r>
        <w:t>Systems are monitored via PostgreSQL and alert routing in Zoom.</w:t>
      </w:r>
    </w:p>
    <w:p>
      <w:pPr>
        <w:pStyle w:val="ListBullet"/>
      </w:pPr>
      <w:r>
        <w:t>All changes require peer review and validation in the Payment Processing Service before production promotion.</w:t>
      </w:r>
    </w:p>
    <w:p>
      <w:pPr>
        <w:pStyle w:val="ListBullet"/>
      </w:pPr>
      <w:r>
        <w:t>Risk acceptance must be documented and revalidated each quarter.</w:t>
      </w:r>
    </w:p>
    <w:p>
      <w:pPr>
        <w:pStyle w:val="ListBullet"/>
      </w:pPr>
      <w:r>
        <w:t>Teams must log requests in Zoom and track outcomes in Payment Processing Service for audit readiness.</w:t>
      </w:r>
    </w:p>
    <w:p>
      <w:pPr>
        <w:pStyle w:val="ListBullet"/>
      </w:pPr>
      <w:r>
        <w:t>The Legal organization uses PostgreSQL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Planned</w:t>
            </w:r>
          </w:p>
        </w:tc>
      </w:tr>
      <w:tr>
        <w:tc>
          <w:tcPr>
            <w:tcW w:type="dxa" w:w="2880"/>
          </w:tcPr>
          <w:p>
            <w:r>
              <w:t>Backup validation</w:t>
            </w:r>
          </w:p>
        </w:tc>
        <w:tc>
          <w:tcPr>
            <w:tcW w:type="dxa" w:w="2880"/>
          </w:tcPr>
          <w:p>
            <w:r>
              <w:t>Operations</w:t>
            </w:r>
          </w:p>
        </w:tc>
        <w:tc>
          <w:tcPr>
            <w:tcW w:type="dxa" w:w="2880"/>
          </w:tcPr>
          <w:p>
            <w:r>
              <w:t>In Progress</w:t>
            </w:r>
          </w:p>
        </w:tc>
      </w:tr>
      <w:tr>
        <w:tc>
          <w:tcPr>
            <w:tcW w:type="dxa" w:w="2880"/>
          </w:tcPr>
          <w:p>
            <w:r>
              <w:t>Patch window</w:t>
            </w:r>
          </w:p>
        </w:tc>
        <w:tc>
          <w:tcPr>
            <w:tcW w:type="dxa" w:w="2880"/>
          </w:tcPr>
          <w:p>
            <w:r>
              <w:t>Legal</w:t>
            </w:r>
          </w:p>
        </w:tc>
        <w:tc>
          <w:tcPr>
            <w:tcW w:type="dxa" w:w="2880"/>
          </w:tcPr>
          <w:p>
            <w:r>
              <w:t>Planned</w:t>
            </w:r>
          </w:p>
        </w:tc>
      </w:tr>
      <w:tr>
        <w:tc>
          <w:tcPr>
            <w:tcW w:type="dxa" w:w="2880"/>
          </w:tcPr>
          <w:p>
            <w:r>
              <w:t>Access review</w:t>
            </w:r>
          </w:p>
        </w:tc>
        <w:tc>
          <w:tcPr>
            <w:tcW w:type="dxa" w:w="2880"/>
          </w:tcPr>
          <w:p>
            <w:r>
              <w:t>Legal</w:t>
            </w:r>
          </w:p>
        </w:tc>
        <w:tc>
          <w:tcPr>
            <w:tcW w:type="dxa" w:w="2880"/>
          </w:tcPr>
          <w:p>
            <w:r>
              <w:t>Blocked</w:t>
            </w:r>
          </w:p>
        </w:tc>
      </w:tr>
    </w:tbl>
    <w:p>
      <w:pPr>
        <w:pStyle w:val="Heading1"/>
      </w:pPr>
      <w:r>
        <w:t>Exceptions and Escalation</w:t>
      </w:r>
    </w:p>
    <w:p>
      <w:r>
        <w:t>Audit sampling occurs monthly and is summarized in leadership dashboards. Teams must log requests in Zoom and track outcomes in Payment Processing Service for audit readiness. Systems are monitored via PostgreSQL and alert routing in Zoom.</w:t>
      </w:r>
    </w:p>
    <w:p>
      <w:pPr>
        <w:pStyle w:val="ListBullet"/>
      </w:pPr>
      <w:r>
        <w:t>Systems are monitored via PostgreSQL and alert routing in Zoom.</w:t>
      </w:r>
    </w:p>
    <w:p>
      <w:pPr>
        <w:pStyle w:val="ListBullet"/>
      </w:pPr>
      <w:r>
        <w:t>Teams must log requests in Zoom and track outcomes in Payment Processing Service for audit readiness.</w:t>
      </w:r>
    </w:p>
    <w:p>
      <w:pPr>
        <w:pStyle w:val="ListBullet"/>
      </w:pPr>
      <w:r>
        <w:t>Audit sampling occurs monthly and is summarized in leadership dashboards.</w:t>
      </w:r>
    </w:p>
    <w:p>
      <w:pPr>
        <w:pStyle w:val="ListBullet"/>
      </w:pPr>
      <w:r>
        <w:t>Stakeholders include the Procurement Lead,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Blocked</w:t>
            </w:r>
          </w:p>
        </w:tc>
      </w:tr>
      <w:tr>
        <w:tc>
          <w:tcPr>
            <w:tcW w:type="dxa" w:w="2880"/>
          </w:tcPr>
          <w:p>
            <w:r>
              <w:t>Backup validation</w:t>
            </w:r>
          </w:p>
        </w:tc>
        <w:tc>
          <w:tcPr>
            <w:tcW w:type="dxa" w:w="2880"/>
          </w:tcPr>
          <w:p>
            <w:r>
              <w:t>Procurement Lead</w:t>
            </w:r>
          </w:p>
        </w:tc>
        <w:tc>
          <w:tcPr>
            <w:tcW w:type="dxa" w:w="2880"/>
          </w:tcPr>
          <w:p>
            <w:r>
              <w:t>In Progress</w:t>
            </w:r>
          </w:p>
        </w:tc>
      </w:tr>
      <w:tr>
        <w:tc>
          <w:tcPr>
            <w:tcW w:type="dxa" w:w="2880"/>
          </w:tcPr>
          <w:p>
            <w:r>
              <w:t>Patch window</w:t>
            </w:r>
          </w:p>
        </w:tc>
        <w:tc>
          <w:tcPr>
            <w:tcW w:type="dxa" w:w="2880"/>
          </w:tcPr>
          <w:p>
            <w:r>
              <w:t>Security</w:t>
            </w:r>
          </w:p>
        </w:tc>
        <w:tc>
          <w:tcPr>
            <w:tcW w:type="dxa" w:w="2880"/>
          </w:tcPr>
          <w:p>
            <w:r>
              <w:t>Planned</w:t>
            </w:r>
          </w:p>
        </w:tc>
      </w:tr>
      <w:tr>
        <w:tc>
          <w:tcPr>
            <w:tcW w:type="dxa" w:w="2880"/>
          </w:tcPr>
          <w:p>
            <w:r>
              <w:t>Incident drill</w:t>
            </w:r>
          </w:p>
        </w:tc>
        <w:tc>
          <w:tcPr>
            <w:tcW w:type="dxa" w:w="2880"/>
          </w:tcPr>
          <w:p>
            <w:r>
              <w:t>Procurement Lead</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