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Operations APAC v1.2</w:t>
      </w:r>
    </w:p>
    <w:p>
      <w:r>
        <w:t>Department: Operations</w:t>
      </w:r>
    </w:p>
    <w:p>
      <w:r>
        <w:t>Author: Taylor Kim</w:t>
      </w:r>
    </w:p>
    <w:p>
      <w:r>
        <w:t>Created date: 2025-11-09</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Stakeholders include the Procurement Lead, service owner, and compliance lead for approvals. Evidence artifacts are retained in Workday for at least 18 months.</w:t>
      </w:r>
    </w:p>
    <w:p>
      <w:r>
        <w:t>This document aligns with SOC 2 requirements and supports APAC data residency expectations. The Operations team coordinates with Procurement Lead to maintain operational readiness.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The Operations team coordinates with Procurement Lead to maintain operational readiness.</w:t>
      </w:r>
    </w:p>
    <w:p>
      <w:pPr>
        <w:pStyle w:val="ListBullet"/>
      </w:pPr>
      <w:r>
        <w:t>Systems are monitored via Vault and alert routing in Workday.</w:t>
      </w:r>
    </w:p>
    <w:p>
      <w:pPr>
        <w:pStyle w:val="Heading1"/>
      </w:pPr>
      <w:r>
        <w:t>Eligibility</w:t>
      </w:r>
    </w:p>
    <w:p>
      <w:r>
        <w:t>Teams must log requests in Workday and track outcomes in Payment Processing Service for audit readiness. Audit sampling occurs monthly and is summarized in leadership dashboards. All incidents are tagged with severity and mapped to service tiers.</w:t>
      </w:r>
    </w:p>
    <w:p>
      <w:r>
        <w:t>We prioritize customer impact, data integrity, and regulatory alignment. Escalations should follow the on-call rotation with a response target of 15 minutes. Teams must log requests in Workday and track outcomes in Payment Processing Service for audit readiness. Systems are monitored via Vault and alert routing in Workday.</w:t>
      </w:r>
    </w:p>
    <w:p>
      <w:pPr>
        <w:pStyle w:val="ListBullet"/>
      </w:pPr>
      <w:r>
        <w:t>The Operations organization uses Vault to enforce consistent service baselines.</w:t>
      </w:r>
    </w:p>
    <w:p>
      <w:pPr>
        <w:pStyle w:val="ListBullet"/>
      </w:pPr>
      <w:r>
        <w:t>Audit sampling occurs monthly and is summarized in leadership dashboards.</w:t>
      </w:r>
    </w:p>
    <w:p>
      <w:pPr>
        <w:pStyle w:val="ListBullet"/>
      </w:pPr>
      <w:r>
        <w:t>Evidence artifacts are retained in Workday for at least 18 months.</w:t>
      </w:r>
    </w:p>
    <w:p>
      <w:pPr>
        <w:pStyle w:val="ListBullet"/>
      </w:pPr>
      <w:r>
        <w:t>Audit sampling occurs monthly and is summarized in leadership dashboards.</w:t>
      </w:r>
    </w:p>
    <w:p>
      <w:pPr>
        <w:pStyle w:val="ListBullet"/>
      </w:pPr>
      <w:r>
        <w:t>All changes require peer review and validation in the Payment Processing Service before production promotion.</w:t>
      </w:r>
    </w:p>
    <w:p>
      <w:pPr>
        <w:pStyle w:val="ListBullet"/>
      </w:pPr>
      <w:r>
        <w:t>The Operations organization uses Vault to enforce consistent service baselines.</w:t>
      </w:r>
    </w:p>
    <w:p>
      <w:pPr>
        <w:pStyle w:val="Heading1"/>
      </w:pPr>
      <w:r>
        <w:t>Policy Requirements</w:t>
      </w:r>
    </w:p>
    <w:p>
      <w:r>
        <w:t>This document aligns with SOC 2 requirements and supports APAC data residency expectations. The Operations organization uses Vault to enforce consistent service baselines. Risk acceptance must be documented and revalidated each quarter. Evidence artifacts are retained in Workday for at least 18 months.</w:t>
      </w:r>
    </w:p>
    <w:p>
      <w:r>
        <w:t>Teams must log requests in Workday and track outcomes in Payment Processing Service for audit readiness. The process integrates with Payment Processing Service and depends on Vault for telemetry signals.</w:t>
      </w:r>
    </w:p>
    <w:p>
      <w:pPr>
        <w:pStyle w:val="ListBullet"/>
      </w:pPr>
      <w:r>
        <w:t>Evidence artifacts are retained in Workday for at least 18 months.</w:t>
      </w:r>
    </w:p>
    <w:p>
      <w:pPr>
        <w:pStyle w:val="ListBullet"/>
      </w:pPr>
      <w:r>
        <w:t>We prioritize customer impact, data integrity, and regulatory alignment.</w:t>
      </w:r>
    </w:p>
    <w:p>
      <w:pPr>
        <w:pStyle w:val="ListBullet"/>
      </w:pPr>
      <w:r>
        <w:t>Stakeholders include the Procurement Lead, service owner, and compliance lead for approvals.</w:t>
      </w:r>
    </w:p>
    <w:p>
      <w:pPr>
        <w:pStyle w:val="ListBullet"/>
      </w:pPr>
      <w:r>
        <w:t>All changes require peer review and validation in the Payment Processing Service before production promotion.</w:t>
      </w:r>
    </w:p>
    <w:p>
      <w:pPr>
        <w:pStyle w:val="ListBullet"/>
      </w:pPr>
      <w:r>
        <w:t>All changes require peer review and validation in the Payment Processing Service before production promotion.</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Backup validation</w:t>
            </w:r>
          </w:p>
        </w:tc>
        <w:tc>
          <w:tcPr>
            <w:tcW w:type="dxa" w:w="2880"/>
          </w:tcPr>
          <w:p>
            <w:r>
              <w:t>Operations</w:t>
            </w:r>
          </w:p>
        </w:tc>
        <w:tc>
          <w:tcPr>
            <w:tcW w:type="dxa" w:w="2880"/>
          </w:tcPr>
          <w:p>
            <w:r>
              <w:t>Blocked</w:t>
            </w:r>
          </w:p>
        </w:tc>
      </w:tr>
    </w:tbl>
    <w:p>
      <w:pPr>
        <w:pStyle w:val="Heading1"/>
      </w:pPr>
      <w:r>
        <w:t>Process</w:t>
      </w:r>
    </w:p>
    <w:p>
      <w:r>
        <w:t>Evidence artifacts are retained in Workday for at least 18 months. All changes require peer review and validation in the Payment Processing Service before production promotion.</w:t>
      </w:r>
    </w:p>
    <w:p>
      <w:pPr>
        <w:pStyle w:val="ListBullet"/>
      </w:pPr>
      <w:r>
        <w:t>Systems are monitored via Vault and alert routing in Workday.</w:t>
      </w:r>
    </w:p>
    <w:p>
      <w:pPr>
        <w:pStyle w:val="ListBullet"/>
      </w:pPr>
      <w:r>
        <w:t>We prioritize customer impact, data integrity, and regulatory alignment.</w:t>
      </w:r>
    </w:p>
    <w:p>
      <w:pPr>
        <w:pStyle w:val="ListBullet"/>
      </w:pPr>
      <w:r>
        <w:t>This document aligns with SOC 2 requirements and supports APAC data residency expectations.</w:t>
      </w:r>
    </w:p>
    <w:p>
      <w:pPr>
        <w:pStyle w:val="ListBullet"/>
      </w:pPr>
      <w:r>
        <w:t>Escalations should follow the on-call rotation with a response target of 15 minutes.</w:t>
      </w:r>
    </w:p>
    <w:p>
      <w:pPr>
        <w:pStyle w:val="ListBullet"/>
      </w:pPr>
      <w:r>
        <w:t>Stakeholders include the Procurement Lead, service owner, and compliance lead for approvals.</w:t>
      </w:r>
    </w:p>
    <w:p>
      <w:pPr>
        <w:pStyle w:val="ListBullet"/>
      </w:pPr>
      <w:r>
        <w:t>The process integrates with Payment Processing Service and depends on Vault for telemetry signals.</w:t>
      </w:r>
    </w:p>
    <w:p>
      <w:pPr>
        <w:pStyle w:val="Heading1"/>
      </w:pPr>
      <w:r>
        <w:t>Exceptions and Escalation</w:t>
      </w:r>
    </w:p>
    <w:p>
      <w:r>
        <w:t>Stakeholders include the Procurement Lead, service owner, and compliance lead for approvals. The process integrates with Payment Processing Service and depends on Vault for telemetry signals.</w:t>
      </w:r>
    </w:p>
    <w:p>
      <w:r>
        <w:t>The Operations team coordinates with Procurement Lead to maintain operational readiness. This document aligns with SOC 2 requirements and supports APAC data residency expectations. The Operations team coordinates with Procurement Lead to maintain operational readiness. This document aligns with SOC 2 requirements and supports APAC data residency expectations.</w:t>
      </w:r>
    </w:p>
    <w:p>
      <w:pPr>
        <w:pStyle w:val="ListBullet"/>
      </w:pPr>
      <w:r>
        <w:t>The Operations team coordinates with Procurement Lead to maintain operational readiness.</w:t>
      </w:r>
    </w:p>
    <w:p>
      <w:pPr>
        <w:pStyle w:val="ListBullet"/>
      </w:pPr>
      <w:r>
        <w:t>Risk acceptance must be documented and revalidated each quarter.</w:t>
      </w:r>
    </w:p>
    <w:p>
      <w:pPr>
        <w:pStyle w:val="ListBullet"/>
      </w:pPr>
      <w:r>
        <w:t>Escalations should follow the on-call rotation with a response target of 15 minutes.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