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Operations US v1.1</w:t>
      </w:r>
    </w:p>
    <w:p>
      <w:r>
        <w:t>Department: Operations</w:t>
      </w:r>
    </w:p>
    <w:p>
      <w:r>
        <w:t>Author: Morgan Brown</w:t>
      </w:r>
    </w:p>
    <w:p>
      <w:r>
        <w:t>Created date: 2024-04-06</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Escalations should follow the on-call rotation with a response target of 60 minutes. Regional teams in US follow the same policy with localized legal review. The Operations organization uses Prometheus to enforce consistent service baselines.</w:t>
      </w:r>
    </w:p>
    <w:p>
      <w:r>
        <w:t>Audit sampling occurs monthly and is summarized in leadership dashboards. This document aligns with ISO 27001 requirements and supports US data residency expectations.</w:t>
      </w:r>
    </w:p>
    <w:p>
      <w:pPr>
        <w:pStyle w:val="ListBullet"/>
      </w:pPr>
      <w:r>
        <w:t>Evidence artifacts are retained in Microsoft 365 for at least 18 months.</w:t>
      </w:r>
    </w:p>
    <w:p>
      <w:pPr>
        <w:pStyle w:val="ListBullet"/>
      </w:pPr>
      <w:r>
        <w:t>All incidents are tagged with severity and mapped to service tiers.</w:t>
      </w:r>
    </w:p>
    <w:p>
      <w:pPr>
        <w:pStyle w:val="ListBullet"/>
      </w:pPr>
      <w:r>
        <w:t>The Operations team coordinates with Procurement Lead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Incident drill</w:t>
            </w:r>
          </w:p>
        </w:tc>
        <w:tc>
          <w:tcPr>
            <w:tcW w:type="dxa" w:w="2880"/>
          </w:tcPr>
          <w:p>
            <w:r>
              <w:t>Procurement Lead</w:t>
            </w:r>
          </w:p>
        </w:tc>
        <w:tc>
          <w:tcPr>
            <w:tcW w:type="dxa" w:w="2880"/>
          </w:tcPr>
          <w:p>
            <w:r>
              <w:t>In Progress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Vendor check</w:t>
            </w:r>
          </w:p>
        </w:tc>
        <w:tc>
          <w:tcPr>
            <w:tcW w:type="dxa" w:w="2880"/>
          </w:tcPr>
          <w:p>
            <w:r>
              <w:t>Operations</w:t>
            </w:r>
          </w:p>
        </w:tc>
        <w:tc>
          <w:tcPr>
            <w:tcW w:type="dxa" w:w="2880"/>
          </w:tcPr>
          <w:p>
            <w:r>
              <w:t>Planned</w:t>
            </w:r>
          </w:p>
        </w:tc>
      </w:tr>
    </w:tbl>
    <w:p>
      <w:pPr>
        <w:pStyle w:val="Heading1"/>
      </w:pPr>
      <w:r>
        <w:t>Eligibility</w:t>
      </w:r>
    </w:p>
    <w:p>
      <w:r>
        <w:t>The process integrates with CI/CD Pipeline and depends on Prometheus for telemetry signals. Teams must log requests in Microsoft 365 and track outcomes in CI/CD Pipeline for audit readiness.</w:t>
      </w:r>
    </w:p>
    <w:p>
      <w:r>
        <w:t>The process integrates with CI/CD Pipeline and depends on Prometheus for telemetry signals. This document aligns with ISO 27001 requirements and supports US data residency expectations. Regional teams in US follow the same policy with localized legal review.</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Risk acceptance must be documented and revalidated each quarter.</w:t>
      </w:r>
    </w:p>
    <w:p>
      <w:pPr>
        <w:pStyle w:val="ListBullet"/>
      </w:pPr>
      <w:r>
        <w:t>Teams must log requests in Microsoft 365 and track outcomes in CI/CD Pipeline for audit readiness.</w:t>
      </w:r>
    </w:p>
    <w:p>
      <w:pPr>
        <w:pStyle w:val="ListBullet"/>
      </w:pPr>
      <w:r>
        <w:t>Teams must log requests in Microsoft 365 and track outcomes in CI/CD Pipeline for audit readiness.</w:t>
      </w:r>
    </w:p>
    <w:p>
      <w:pPr>
        <w:pStyle w:val="Heading1"/>
      </w:pPr>
      <w:r>
        <w:t>Policy Requirements</w:t>
      </w:r>
    </w:p>
    <w:p>
      <w:r>
        <w:t>Evidence artifacts are retained in Microsoft 365 for at least 18 months. The Operations team coordinates with Procurement Lead to maintain operational readiness.</w:t>
      </w:r>
    </w:p>
    <w:p>
      <w:r>
        <w:t>All changes require peer review and validation in the CI/CD Pipeline before production promotion. Escalations should follow the on-call rotation with a response target of 60 minutes. The Operations organization uses Prometheus to enforce consistent service baselines. We prioritize customer impact, data integrity, and regulatory alignment.</w:t>
      </w:r>
    </w:p>
    <w:p>
      <w:pPr>
        <w:pStyle w:val="ListBullet"/>
      </w:pPr>
      <w:r>
        <w:t>Audit sampling occurs monthly and is summarized in leadership dashboards.</w:t>
      </w:r>
    </w:p>
    <w:p>
      <w:pPr>
        <w:pStyle w:val="ListBullet"/>
      </w:pPr>
      <w:r>
        <w:t>The Operations team coordinates with Procurement Lead to maintain operational readiness.</w:t>
      </w:r>
    </w:p>
    <w:p>
      <w:pPr>
        <w:pStyle w:val="ListBullet"/>
      </w:pPr>
      <w:r>
        <w:t>All incidents are tagged with severity and mapped to service tiers.</w:t>
      </w:r>
    </w:p>
    <w:p>
      <w:pPr>
        <w:pStyle w:val="ListBullet"/>
      </w:pPr>
      <w:r>
        <w:t>Systems are monitored via Prometheus and alert routing in Microsoft 365.</w:t>
      </w:r>
    </w:p>
    <w:p>
      <w:pPr>
        <w:pStyle w:val="ListBullet"/>
      </w:pPr>
      <w:r>
        <w:t>Escalations should follow the on-call rotation with a response target of 60 minutes.</w:t>
      </w:r>
    </w:p>
    <w:p>
      <w:pPr>
        <w:pStyle w:val="Heading1"/>
      </w:pPr>
      <w:r>
        <w:t>Process</w:t>
      </w:r>
    </w:p>
    <w:p>
      <w:r>
        <w:t>Escalations should follow the on-call rotation with a response target of 60 minutes. The Operations organization uses Prometheus to enforce consistent service baselines. The Operations organization uses Prometheus to enforce consistent service baselines.</w:t>
      </w:r>
    </w:p>
    <w:p>
      <w:pPr>
        <w:pStyle w:val="ListBullet"/>
      </w:pPr>
      <w:r>
        <w:t>Regional teams in US follow the same policy with localized legal review.</w:t>
      </w:r>
    </w:p>
    <w:p>
      <w:pPr>
        <w:pStyle w:val="ListBullet"/>
      </w:pPr>
      <w:r>
        <w:t>Escalations should follow the on-call rotation with a response target of 60 minutes.</w:t>
      </w:r>
    </w:p>
    <w:p>
      <w:pPr>
        <w:pStyle w:val="ListBullet"/>
      </w:pPr>
      <w:r>
        <w:t>All incidents are tagged with severity and mapped to service tiers.</w:t>
      </w:r>
    </w:p>
    <w:p>
      <w:pPr>
        <w:pStyle w:val="Heading1"/>
      </w:pPr>
      <w:r>
        <w:t>Exceptions and Escalation</w:t>
      </w:r>
    </w:p>
    <w:p>
      <w:r>
        <w:t>The Operations team coordinates with Procurement Lead to maintain operational readiness. This document aligns with ISO 27001 requirements and supports US data residency expectations. Escalations should follow the on-call rotation with a response target of 60 minutes. Teams must log requests in Microsoft 365 and track outcomes in CI/CD Pipeline for audit readiness.</w:t>
      </w:r>
    </w:p>
    <w:p>
      <w:pPr>
        <w:pStyle w:val="ListBullet"/>
      </w:pPr>
      <w:r>
        <w:t>All incidents are tagged with severity and mapped to service tiers.</w:t>
      </w:r>
    </w:p>
    <w:p>
      <w:pPr>
        <w:pStyle w:val="ListBullet"/>
      </w:pPr>
      <w:r>
        <w:t>The process integrates with CI/CD Pipeline and depends on Prometheus for telemetry signals.</w:t>
      </w:r>
    </w:p>
    <w:p>
      <w:pPr>
        <w:pStyle w:val="ListBullet"/>
      </w:pPr>
      <w:r>
        <w:t>All incidents are tagged with severity and mapped to service tiers.</w:t>
      </w:r>
    </w:p>
    <w:p>
      <w:pPr>
        <w:pStyle w:val="ListBullet"/>
      </w:pPr>
      <w:r>
        <w:t>The Operations organization uses Prometheus to enforce consistent service baselines.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