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Procurement EU v3.0</w:t>
      </w:r>
    </w:p>
    <w:p>
      <w:r>
        <w:t>Department: Procurement</w:t>
      </w:r>
    </w:p>
    <w:p>
      <w:r>
        <w:t>Author: Jordan Nguyen</w:t>
      </w:r>
    </w:p>
    <w:p>
      <w:r>
        <w:t>Created date: 2024-01-14</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Systems are monitored via AWS and alert routing in Confluence. Evidence artifacts are retained in Confluence for at least 12 months. Audit sampling occurs monthly and is summarized in leadership dashboards.</w:t>
      </w:r>
    </w:p>
    <w:p>
      <w:r>
        <w:t>The Procurement organization uses AWS to enforce consistent service baselines. The Procurement team coordinates with HR Business Partner to maintain operational readiness. Risk acceptance must be documented and revalidated each quarter.</w:t>
      </w:r>
    </w:p>
    <w:p>
      <w:pPr>
        <w:pStyle w:val="ListBullet"/>
      </w:pPr>
      <w:r>
        <w:t>Stakeholders include the HR Business Partner, service owner, and compliance lead for approvals.</w:t>
      </w:r>
    </w:p>
    <w:p>
      <w:pPr>
        <w:pStyle w:val="ListBullet"/>
      </w:pPr>
      <w:r>
        <w:t>The process integrates with Ticketing Platform and depends on AWS for telemetry signals.</w:t>
      </w:r>
    </w:p>
    <w:p>
      <w:pPr>
        <w:pStyle w:val="ListBullet"/>
      </w:pPr>
      <w:r>
        <w:t>Evidence artifacts are retained in Confluence for at least 12 months.</w:t>
      </w:r>
    </w:p>
    <w:p>
      <w:pPr>
        <w:pStyle w:val="Heading1"/>
      </w:pPr>
      <w:r>
        <w:t>Eligibility</w:t>
      </w:r>
    </w:p>
    <w:p>
      <w:r>
        <w:t>The Procurement organization uses AWS to enforce consistent service baselines. Stakeholders include the HR Business Partner, service owner, and compliance lead for approvals. Audit sampling occurs monthly and is summarized in leadership dashboards. All changes require peer review and validation in the Ticketing Platform before production promotion.</w:t>
      </w:r>
    </w:p>
    <w:p>
      <w:r>
        <w:t>The Procurement organization uses AWS to enforce consistent service baselines. Risk acceptance must be documented and revalidated each quarter. Risk acceptance must be documented and revalidated each quarter. Evidence artifacts are retained in Confluence for at least 12 months.</w:t>
      </w:r>
    </w:p>
    <w:p>
      <w:pPr>
        <w:pStyle w:val="ListBullet"/>
      </w:pPr>
      <w:r>
        <w:t>Stakeholders include the HR Business Partner, service owner, and compliance lead for approvals.</w:t>
      </w:r>
    </w:p>
    <w:p>
      <w:pPr>
        <w:pStyle w:val="ListBullet"/>
      </w:pPr>
      <w:r>
        <w:t>Evidence artifacts are retained in Confluence for at least 12 months.</w:t>
      </w:r>
    </w:p>
    <w:p>
      <w:pPr>
        <w:pStyle w:val="ListBullet"/>
      </w:pPr>
      <w:r>
        <w:t>Evidence artifacts are retained in Confluence for at least 12 months.</w:t>
      </w:r>
    </w:p>
    <w:p>
      <w:pPr>
        <w:pStyle w:val="ListBullet"/>
      </w:pPr>
      <w:r>
        <w:t>The Procurement organization uses AWS to enforce consistent service baselines.</w:t>
      </w:r>
    </w:p>
    <w:p>
      <w:pPr>
        <w:pStyle w:val="ListBullet"/>
      </w:pPr>
      <w:r>
        <w:t>All changes require peer review and validation in the Ticketing Platform before production promotion.</w:t>
      </w:r>
    </w:p>
    <w:p>
      <w:pPr>
        <w:pStyle w:val="Heading1"/>
      </w:pPr>
      <w:r>
        <w:t>Policy Requirements</w:t>
      </w:r>
    </w:p>
    <w:p>
      <w:r>
        <w:t>All changes require peer review and validation in the Ticketing Platform before production promotion. Systems are monitored via AWS and alert routing in Confluence. Regional teams in EU follow the same policy with localized legal review.</w:t>
      </w:r>
    </w:p>
    <w:p>
      <w:pPr>
        <w:pStyle w:val="ListBullet"/>
      </w:pPr>
      <w:r>
        <w:t>Systems are monitored via AWS and alert routing in Confluence.</w:t>
      </w:r>
    </w:p>
    <w:p>
      <w:pPr>
        <w:pStyle w:val="ListBullet"/>
      </w:pPr>
      <w:r>
        <w:t>Systems are monitored via AWS and alert routing in Confluence.</w:t>
      </w:r>
    </w:p>
    <w:p>
      <w:pPr>
        <w:pStyle w:val="ListBullet"/>
      </w:pPr>
      <w:r>
        <w:t>Systems are monitored via AWS and alert routing in Confluence.</w:t>
      </w:r>
    </w:p>
    <w:p>
      <w:pPr>
        <w:pStyle w:val="ListBullet"/>
      </w:pPr>
      <w:r>
        <w:t>This document aligns with HIPAA requirements and supports EU data residency expectations.</w:t>
      </w:r>
    </w:p>
    <w:p>
      <w:pPr>
        <w:pStyle w:val="Heading1"/>
      </w:pPr>
      <w:r>
        <w:t>Process</w:t>
      </w:r>
    </w:p>
    <w:p>
      <w:r>
        <w:t>Evidence artifacts are retained in Confluence for at least 12 months. Stakeholders include the HR Business Partner, service owner, and compliance lead for approvals. Audit sampling occurs monthly and is summarized in leadership dashboards.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The Procurement organization uses AWS to enforce consistent service baselines.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Incident drill</w:t>
            </w:r>
          </w:p>
        </w:tc>
        <w:tc>
          <w:tcPr>
            <w:tcW w:type="dxa" w:w="2880"/>
          </w:tcPr>
          <w:p>
            <w:r>
              <w:t>Procurement</w:t>
            </w:r>
          </w:p>
        </w:tc>
        <w:tc>
          <w:tcPr>
            <w:tcW w:type="dxa" w:w="2880"/>
          </w:tcPr>
          <w:p>
            <w:r>
              <w:t>Blocked</w:t>
            </w:r>
          </w:p>
        </w:tc>
      </w:tr>
    </w:tbl>
    <w:p>
      <w:pPr>
        <w:pStyle w:val="Heading1"/>
      </w:pPr>
      <w:r>
        <w:t>Exceptions and Escalation</w:t>
      </w:r>
    </w:p>
    <w:p>
      <w:r>
        <w:t>Regional teams in EU follow the same policy with localized legal review. This document aligns with HIPAA requirements and supports EU data residency expectations.</w:t>
      </w:r>
    </w:p>
    <w:p>
      <w:r>
        <w:t>Risk acceptance must be documented and revalidated each quarter. All changes require peer review and validation in the Ticketing Platform before production promotion. All changes require peer review and validation in the Ticketing Platform before production promotion. Audit sampling occurs monthly and is summarized in leadership dashboards.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Regional teams in EU follow the same policy with localized legal review.</w:t>
      </w:r>
    </w:p>
    <w:p>
      <w:pPr>
        <w:pStyle w:val="ListBullet"/>
      </w:pPr>
      <w:r>
        <w:t>Risk acceptance must be documented and revalidated each quarter.</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