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HR Policies - Procurement US v2.1</w:t>
      </w:r>
    </w:p>
    <w:p>
      <w:r>
        <w:t>Department: Procurement</w:t>
      </w:r>
    </w:p>
    <w:p>
      <w:r>
        <w:t>Author: Alex Kim</w:t>
      </w:r>
    </w:p>
    <w:p>
      <w:r>
        <w:t>Created date: 2026-02-15</w:t>
      </w:r>
    </w:p>
    <w:p>
      <w:r>
        <w:t>Region: US</w:t>
      </w:r>
    </w:p>
    <w:p>
      <w:r>
        <w:t>Version: 2.1</w:t>
      </w:r>
    </w:p>
    <w:p>
      <w:r>
        <w:t>This internal document is intended for authorized employees and outlines standard guidance for enterprise operations.</w:t>
      </w:r>
    </w:p>
    <w:p>
      <w:r>
        <w:t>Where possible, teams should reuse existing patterns, templates, and approved tooling to reduce operational risk.</w:t>
      </w:r>
    </w:p>
    <w:p>
      <w:r>
        <w:t>Any deviation from the described process must be approved through the documented exception workflow.</w:t>
      </w:r>
    </w:p>
    <w:p>
      <w:pPr>
        <w:pStyle w:val="Heading1"/>
      </w:pPr>
      <w:r>
        <w:t>Purpose and Scope</w:t>
      </w:r>
    </w:p>
    <w:p>
      <w:r>
        <w:t>Systems are monitored via Vault and alert routing in Google Workspace. Teams must log requests in Google Workspace and track outcomes in Log Aggregation Cluster for audit readiness. All changes require peer review and validation in the Log Aggregation Cluster before production promotion.</w:t>
      </w:r>
    </w:p>
    <w:p>
      <w:r>
        <w:t>Audit sampling occurs monthly and is summarized in leadership dashboards. Evidence artifacts are retained in Google Workspace for at least 24 months. The Procurement team coordinates with HR Business Partner to maintain operational readiness. Regional teams in US follow the same policy with localized legal review.</w:t>
      </w:r>
    </w:p>
    <w:p>
      <w:pPr>
        <w:pStyle w:val="ListBullet"/>
      </w:pPr>
      <w:r>
        <w:t>Risk acceptance must be documented and revalidated each quarter.</w:t>
      </w:r>
    </w:p>
    <w:p>
      <w:pPr>
        <w:pStyle w:val="ListBullet"/>
      </w:pPr>
      <w:r>
        <w:t>Evidence artifacts are retained in Google Workspace for at least 24 months.</w:t>
      </w:r>
    </w:p>
    <w:p>
      <w:pPr>
        <w:pStyle w:val="ListBullet"/>
      </w:pPr>
      <w:r>
        <w:t>Evidence artifacts are retained in Google Workspace for at least 24 months.</w:t>
      </w:r>
    </w:p>
    <w:p>
      <w:pPr>
        <w:pStyle w:val="ListBullet"/>
      </w:pPr>
      <w:r>
        <w:t>Evidence artifacts are retained in Google Workspace for at least 24 months.</w:t>
      </w:r>
    </w:p>
    <w:p>
      <w:pPr>
        <w:pStyle w:val="ListBullet"/>
      </w:pPr>
      <w:r>
        <w:t>This document aligns with PCI DSS requirements and supports US data residency expectations.</w:t>
      </w:r>
    </w:p>
    <w:tbl>
      <w:tblPr>
        <w:tblW w:type="auto" w:w="0"/>
        <w:tblLook w:firstColumn="1" w:firstRow="1" w:lastColumn="0" w:lastRow="0" w:noHBand="0" w:noVBand="1" w:val="04A0"/>
      </w:tblPr>
      <w:tblGrid>
        <w:gridCol w:w="2880"/>
        <w:gridCol w:w="2880"/>
        <w:gridCol w:w="2880"/>
      </w:tblGrid>
      <w:tr>
        <w:tc>
          <w:tcPr>
            <w:tcW w:type="dxa" w:w="2880"/>
          </w:tcPr>
          <w:p>
            <w:r>
              <w:t>Item</w:t>
            </w:r>
          </w:p>
        </w:tc>
        <w:tc>
          <w:tcPr>
            <w:tcW w:type="dxa" w:w="2880"/>
          </w:tcPr>
          <w:p>
            <w:r>
              <w:t>Owner</w:t>
            </w:r>
          </w:p>
        </w:tc>
        <w:tc>
          <w:tcPr>
            <w:tcW w:type="dxa" w:w="2880"/>
          </w:tcPr>
          <w:p>
            <w:r>
              <w:t>Status</w:t>
            </w:r>
          </w:p>
        </w:tc>
      </w:tr>
      <w:tr>
        <w:tc>
          <w:tcPr>
            <w:tcW w:type="dxa" w:w="2880"/>
          </w:tcPr>
          <w:p>
            <w:r>
              <w:t>Incident drill</w:t>
            </w:r>
          </w:p>
        </w:tc>
        <w:tc>
          <w:tcPr>
            <w:tcW w:type="dxa" w:w="2880"/>
          </w:tcPr>
          <w:p>
            <w:r>
              <w:t>Security</w:t>
            </w:r>
          </w:p>
        </w:tc>
        <w:tc>
          <w:tcPr>
            <w:tcW w:type="dxa" w:w="2880"/>
          </w:tcPr>
          <w:p>
            <w:r>
              <w:t>Planned</w:t>
            </w:r>
          </w:p>
        </w:tc>
      </w:tr>
      <w:tr>
        <w:tc>
          <w:tcPr>
            <w:tcW w:type="dxa" w:w="2880"/>
          </w:tcPr>
          <w:p>
            <w:r>
              <w:t>Access review</w:t>
            </w:r>
          </w:p>
        </w:tc>
        <w:tc>
          <w:tcPr>
            <w:tcW w:type="dxa" w:w="2880"/>
          </w:tcPr>
          <w:p>
            <w:r>
              <w:t>Operations</w:t>
            </w:r>
          </w:p>
        </w:tc>
        <w:tc>
          <w:tcPr>
            <w:tcW w:type="dxa" w:w="2880"/>
          </w:tcPr>
          <w:p>
            <w:r>
              <w:t>Complete</w:t>
            </w:r>
          </w:p>
        </w:tc>
      </w:tr>
      <w:tr>
        <w:tc>
          <w:tcPr>
            <w:tcW w:type="dxa" w:w="2880"/>
          </w:tcPr>
          <w:p>
            <w:r>
              <w:t>Backup validation</w:t>
            </w:r>
          </w:p>
        </w:tc>
        <w:tc>
          <w:tcPr>
            <w:tcW w:type="dxa" w:w="2880"/>
          </w:tcPr>
          <w:p>
            <w:r>
              <w:t>Procurement</w:t>
            </w:r>
          </w:p>
        </w:tc>
        <w:tc>
          <w:tcPr>
            <w:tcW w:type="dxa" w:w="2880"/>
          </w:tcPr>
          <w:p>
            <w:r>
              <w:t>Planned</w:t>
            </w:r>
          </w:p>
        </w:tc>
      </w:tr>
    </w:tbl>
    <w:p>
      <w:pPr>
        <w:pStyle w:val="Heading1"/>
      </w:pPr>
      <w:r>
        <w:t>Eligibility</w:t>
      </w:r>
    </w:p>
    <w:p>
      <w:r>
        <w:t>The Procurement organization uses Vault to enforce consistent service baselines. All changes require peer review and validation in the Log Aggregation Cluster before production promotion.</w:t>
      </w:r>
    </w:p>
    <w:p>
      <w:r>
        <w:t>The Procurement team coordinates with HR Business Partner to maintain operational readiness. The Procurement organization uses Vault to enforce consistent service baselines.</w:t>
      </w:r>
    </w:p>
    <w:p>
      <w:pPr>
        <w:pStyle w:val="ListBullet"/>
      </w:pPr>
      <w:r>
        <w:t>All changes require peer review and validation in the Log Aggregation Cluster before production promotion.</w:t>
      </w:r>
    </w:p>
    <w:p>
      <w:pPr>
        <w:pStyle w:val="ListBullet"/>
      </w:pPr>
      <w:r>
        <w:t>The process integrates with Log Aggregation Cluster and depends on Vault for telemetry signals.</w:t>
      </w:r>
    </w:p>
    <w:p>
      <w:pPr>
        <w:pStyle w:val="ListBullet"/>
      </w:pPr>
      <w:r>
        <w:t>We prioritize customer impact, data integrity, and regulatory alignment.</w:t>
      </w:r>
    </w:p>
    <w:p>
      <w:pPr>
        <w:pStyle w:val="ListBullet"/>
      </w:pPr>
      <w:r>
        <w:t>All incidents are tagged with severity and mapped to service tiers.</w:t>
      </w:r>
    </w:p>
    <w:tbl>
      <w:tblPr>
        <w:tblW w:type="auto" w:w="0"/>
        <w:tblLook w:firstColumn="1" w:firstRow="1" w:lastColumn="0" w:lastRow="0" w:noHBand="0" w:noVBand="1" w:val="04A0"/>
      </w:tblPr>
      <w:tblGrid>
        <w:gridCol w:w="2880"/>
        <w:gridCol w:w="2880"/>
        <w:gridCol w:w="2880"/>
      </w:tblGrid>
      <w:tr>
        <w:tc>
          <w:tcPr>
            <w:tcW w:type="dxa" w:w="2880"/>
          </w:tcPr>
          <w:p>
            <w:r>
              <w:t>Item</w:t>
            </w:r>
          </w:p>
        </w:tc>
        <w:tc>
          <w:tcPr>
            <w:tcW w:type="dxa" w:w="2880"/>
          </w:tcPr>
          <w:p>
            <w:r>
              <w:t>Owner</w:t>
            </w:r>
          </w:p>
        </w:tc>
        <w:tc>
          <w:tcPr>
            <w:tcW w:type="dxa" w:w="2880"/>
          </w:tcPr>
          <w:p>
            <w:r>
              <w:t>Status</w:t>
            </w:r>
          </w:p>
        </w:tc>
      </w:tr>
      <w:tr>
        <w:tc>
          <w:tcPr>
            <w:tcW w:type="dxa" w:w="2880"/>
          </w:tcPr>
          <w:p>
            <w:r>
              <w:t>Incident drill</w:t>
            </w:r>
          </w:p>
        </w:tc>
        <w:tc>
          <w:tcPr>
            <w:tcW w:type="dxa" w:w="2880"/>
          </w:tcPr>
          <w:p>
            <w:r>
              <w:t>HR Business Partner</w:t>
            </w:r>
          </w:p>
        </w:tc>
        <w:tc>
          <w:tcPr>
            <w:tcW w:type="dxa" w:w="2880"/>
          </w:tcPr>
          <w:p>
            <w:r>
              <w:t>Planned</w:t>
            </w:r>
          </w:p>
        </w:tc>
      </w:tr>
      <w:tr>
        <w:tc>
          <w:tcPr>
            <w:tcW w:type="dxa" w:w="2880"/>
          </w:tcPr>
          <w:p>
            <w:r>
              <w:t>Access review</w:t>
            </w:r>
          </w:p>
        </w:tc>
        <w:tc>
          <w:tcPr>
            <w:tcW w:type="dxa" w:w="2880"/>
          </w:tcPr>
          <w:p>
            <w:r>
              <w:t>Procurement</w:t>
            </w:r>
          </w:p>
        </w:tc>
        <w:tc>
          <w:tcPr>
            <w:tcW w:type="dxa" w:w="2880"/>
          </w:tcPr>
          <w:p>
            <w:r>
              <w:t>Complete</w:t>
            </w:r>
          </w:p>
        </w:tc>
      </w:tr>
      <w:tr>
        <w:tc>
          <w:tcPr>
            <w:tcW w:type="dxa" w:w="2880"/>
          </w:tcPr>
          <w:p>
            <w:r>
              <w:t>Patch window</w:t>
            </w:r>
          </w:p>
        </w:tc>
        <w:tc>
          <w:tcPr>
            <w:tcW w:type="dxa" w:w="2880"/>
          </w:tcPr>
          <w:p>
            <w:r>
              <w:t>Security</w:t>
            </w:r>
          </w:p>
        </w:tc>
        <w:tc>
          <w:tcPr>
            <w:tcW w:type="dxa" w:w="2880"/>
          </w:tcPr>
          <w:p>
            <w:r>
              <w:t>Complete</w:t>
            </w:r>
          </w:p>
        </w:tc>
      </w:tr>
    </w:tbl>
    <w:p>
      <w:pPr>
        <w:pStyle w:val="Heading1"/>
      </w:pPr>
      <w:r>
        <w:t>Policy Requirements</w:t>
      </w:r>
    </w:p>
    <w:p>
      <w:r>
        <w:t>Audit sampling occurs monthly and is summarized in leadership dashboards. The Procurement organization uses Vault to enforce consistent service baselines. The Procurement organization uses Vault to enforce consistent service baselines. The Procurement team coordinates with HR Business Partner to maintain operational readiness.</w:t>
      </w:r>
    </w:p>
    <w:p>
      <w:pPr>
        <w:pStyle w:val="ListBullet"/>
      </w:pPr>
      <w:r>
        <w:t>We prioritize customer impact, data integrity, and regulatory alignment.</w:t>
      </w:r>
    </w:p>
    <w:p>
      <w:pPr>
        <w:pStyle w:val="ListBullet"/>
      </w:pPr>
      <w:r>
        <w:t>Risk acceptance must be documented and revalidated each quarter.</w:t>
      </w:r>
    </w:p>
    <w:p>
      <w:pPr>
        <w:pStyle w:val="ListBullet"/>
      </w:pPr>
      <w:r>
        <w:t>Teams must log requests in Google Workspace and track outcomes in Log Aggregation Cluster for audit readiness.</w:t>
      </w:r>
    </w:p>
    <w:p>
      <w:pPr>
        <w:pStyle w:val="ListBullet"/>
      </w:pPr>
      <w:r>
        <w:t>Teams must log requests in Google Workspace and track outcomes in Log Aggregation Cluster for audit readiness.</w:t>
      </w:r>
    </w:p>
    <w:p>
      <w:pPr>
        <w:pStyle w:val="ListBullet"/>
      </w:pPr>
      <w:r>
        <w:t>Stakeholders include the HR Business Partner, service owner, and compliance lead for approvals.</w:t>
      </w:r>
    </w:p>
    <w:p>
      <w:pPr>
        <w:pStyle w:val="ListBullet"/>
      </w:pPr>
      <w:r>
        <w:t>Regional teams in US follow the same policy with localized legal review.</w:t>
      </w:r>
    </w:p>
    <w:tbl>
      <w:tblPr>
        <w:tblW w:type="auto" w:w="0"/>
        <w:tblLook w:firstColumn="1" w:firstRow="1" w:lastColumn="0" w:lastRow="0" w:noHBand="0" w:noVBand="1" w:val="04A0"/>
      </w:tblPr>
      <w:tblGrid>
        <w:gridCol w:w="2880"/>
        <w:gridCol w:w="2880"/>
        <w:gridCol w:w="2880"/>
      </w:tblGrid>
      <w:tr>
        <w:tc>
          <w:tcPr>
            <w:tcW w:type="dxa" w:w="2880"/>
          </w:tcPr>
          <w:p>
            <w:r>
              <w:t>Item</w:t>
            </w:r>
          </w:p>
        </w:tc>
        <w:tc>
          <w:tcPr>
            <w:tcW w:type="dxa" w:w="2880"/>
          </w:tcPr>
          <w:p>
            <w:r>
              <w:t>Owner</w:t>
            </w:r>
          </w:p>
        </w:tc>
        <w:tc>
          <w:tcPr>
            <w:tcW w:type="dxa" w:w="2880"/>
          </w:tcPr>
          <w:p>
            <w:r>
              <w:t>Status</w:t>
            </w:r>
          </w:p>
        </w:tc>
      </w:tr>
      <w:tr>
        <w:tc>
          <w:tcPr>
            <w:tcW w:type="dxa" w:w="2880"/>
          </w:tcPr>
          <w:p>
            <w:r>
              <w:t>Patch window</w:t>
            </w:r>
          </w:p>
        </w:tc>
        <w:tc>
          <w:tcPr>
            <w:tcW w:type="dxa" w:w="2880"/>
          </w:tcPr>
          <w:p>
            <w:r>
              <w:t>HR Business Partner</w:t>
            </w:r>
          </w:p>
        </w:tc>
        <w:tc>
          <w:tcPr>
            <w:tcW w:type="dxa" w:w="2880"/>
          </w:tcPr>
          <w:p>
            <w:r>
              <w:t>In Progress</w:t>
            </w:r>
          </w:p>
        </w:tc>
      </w:tr>
      <w:tr>
        <w:tc>
          <w:tcPr>
            <w:tcW w:type="dxa" w:w="2880"/>
          </w:tcPr>
          <w:p>
            <w:r>
              <w:t>Patch window</w:t>
            </w:r>
          </w:p>
        </w:tc>
        <w:tc>
          <w:tcPr>
            <w:tcW w:type="dxa" w:w="2880"/>
          </w:tcPr>
          <w:p>
            <w:r>
              <w:t>Procurement</w:t>
            </w:r>
          </w:p>
        </w:tc>
        <w:tc>
          <w:tcPr>
            <w:tcW w:type="dxa" w:w="2880"/>
          </w:tcPr>
          <w:p>
            <w:r>
              <w:t>In Progress</w:t>
            </w:r>
          </w:p>
        </w:tc>
      </w:tr>
      <w:tr>
        <w:tc>
          <w:tcPr>
            <w:tcW w:type="dxa" w:w="2880"/>
          </w:tcPr>
          <w:p>
            <w:r>
              <w:t>Backup validation</w:t>
            </w:r>
          </w:p>
        </w:tc>
        <w:tc>
          <w:tcPr>
            <w:tcW w:type="dxa" w:w="2880"/>
          </w:tcPr>
          <w:p>
            <w:r>
              <w:t>Procurement</w:t>
            </w:r>
          </w:p>
        </w:tc>
        <w:tc>
          <w:tcPr>
            <w:tcW w:type="dxa" w:w="2880"/>
          </w:tcPr>
          <w:p>
            <w:r>
              <w:t>Blocked</w:t>
            </w:r>
          </w:p>
        </w:tc>
      </w:tr>
    </w:tbl>
    <w:p>
      <w:pPr>
        <w:pStyle w:val="Heading1"/>
      </w:pPr>
      <w:r>
        <w:t>Process</w:t>
      </w:r>
    </w:p>
    <w:p>
      <w:r>
        <w:t>Audit sampling occurs monthly and is summarized in leadership dashboards. Regional teams in US follow the same policy with localized legal review.</w:t>
      </w:r>
    </w:p>
    <w:p>
      <w:pPr>
        <w:pStyle w:val="ListBullet"/>
      </w:pPr>
      <w:r>
        <w:t>Stakeholders include the HR Business Partner, service owner, and compliance lead for approvals.</w:t>
      </w:r>
    </w:p>
    <w:p>
      <w:pPr>
        <w:pStyle w:val="ListBullet"/>
      </w:pPr>
      <w:r>
        <w:t>Teams must log requests in Google Workspace and track outcomes in Log Aggregation Cluster for audit readiness.</w:t>
      </w:r>
    </w:p>
    <w:p>
      <w:pPr>
        <w:pStyle w:val="ListBullet"/>
      </w:pPr>
      <w:r>
        <w:t>Systems are monitored via Vault and alert routing in Google Workspace.</w:t>
      </w:r>
    </w:p>
    <w:p>
      <w:pPr>
        <w:pStyle w:val="ListBullet"/>
      </w:pPr>
      <w:r>
        <w:t>This document aligns with PCI DSS requirements and supports US data residency expectations.</w:t>
      </w:r>
    </w:p>
    <w:tbl>
      <w:tblPr>
        <w:tblW w:type="auto" w:w="0"/>
        <w:tblLook w:firstColumn="1" w:firstRow="1" w:lastColumn="0" w:lastRow="0" w:noHBand="0" w:noVBand="1" w:val="04A0"/>
      </w:tblPr>
      <w:tblGrid>
        <w:gridCol w:w="2880"/>
        <w:gridCol w:w="2880"/>
        <w:gridCol w:w="2880"/>
      </w:tblGrid>
      <w:tr>
        <w:tc>
          <w:tcPr>
            <w:tcW w:type="dxa" w:w="2880"/>
          </w:tcPr>
          <w:p>
            <w:r>
              <w:t>Item</w:t>
            </w:r>
          </w:p>
        </w:tc>
        <w:tc>
          <w:tcPr>
            <w:tcW w:type="dxa" w:w="2880"/>
          </w:tcPr>
          <w:p>
            <w:r>
              <w:t>Owner</w:t>
            </w:r>
          </w:p>
        </w:tc>
        <w:tc>
          <w:tcPr>
            <w:tcW w:type="dxa" w:w="2880"/>
          </w:tcPr>
          <w:p>
            <w:r>
              <w:t>Status</w:t>
            </w:r>
          </w:p>
        </w:tc>
      </w:tr>
      <w:tr>
        <w:tc>
          <w:tcPr>
            <w:tcW w:type="dxa" w:w="2880"/>
          </w:tcPr>
          <w:p>
            <w:r>
              <w:t>Access review</w:t>
            </w:r>
          </w:p>
        </w:tc>
        <w:tc>
          <w:tcPr>
            <w:tcW w:type="dxa" w:w="2880"/>
          </w:tcPr>
          <w:p>
            <w:r>
              <w:t>Operations</w:t>
            </w:r>
          </w:p>
        </w:tc>
        <w:tc>
          <w:tcPr>
            <w:tcW w:type="dxa" w:w="2880"/>
          </w:tcPr>
          <w:p>
            <w:r>
              <w:t>Complete</w:t>
            </w:r>
          </w:p>
        </w:tc>
      </w:tr>
      <w:tr>
        <w:tc>
          <w:tcPr>
            <w:tcW w:type="dxa" w:w="2880"/>
          </w:tcPr>
          <w:p>
            <w:r>
              <w:t>Vendor check</w:t>
            </w:r>
          </w:p>
        </w:tc>
        <w:tc>
          <w:tcPr>
            <w:tcW w:type="dxa" w:w="2880"/>
          </w:tcPr>
          <w:p>
            <w:r>
              <w:t>Procurement</w:t>
            </w:r>
          </w:p>
        </w:tc>
        <w:tc>
          <w:tcPr>
            <w:tcW w:type="dxa" w:w="2880"/>
          </w:tcPr>
          <w:p>
            <w:r>
              <w:t>Planned</w:t>
            </w:r>
          </w:p>
        </w:tc>
      </w:tr>
    </w:tbl>
    <w:p>
      <w:pPr>
        <w:pStyle w:val="Heading1"/>
      </w:pPr>
      <w:r>
        <w:t>Exceptions and Escalation</w:t>
      </w:r>
    </w:p>
    <w:p>
      <w:r>
        <w:t>Risk acceptance must be documented and revalidated each quarter. The Procurement organization uses Vault to enforce consistent service baselines. The Procurement team coordinates with HR Business Partner to maintain operational readiness.</w:t>
      </w:r>
    </w:p>
    <w:p>
      <w:r>
        <w:t>This document aligns with PCI DSS requirements and supports US data residency expectations. The process integrates with Log Aggregation Cluster and depends on Vault for telemetry signals. Audit sampling occurs monthly and is summarized in leadership dashboards.</w:t>
      </w:r>
    </w:p>
    <w:p>
      <w:pPr>
        <w:pStyle w:val="ListBullet"/>
      </w:pPr>
      <w:r>
        <w:t>This document aligns with PCI DSS requirements and supports US data residency expectations.</w:t>
      </w:r>
    </w:p>
    <w:p>
      <w:pPr>
        <w:pStyle w:val="ListBullet"/>
      </w:pPr>
      <w:r>
        <w:t>This document aligns with PCI DSS requirements and supports US data residency expectations.</w:t>
      </w:r>
    </w:p>
    <w:p>
      <w:pPr>
        <w:pStyle w:val="ListBullet"/>
      </w:pPr>
      <w:r>
        <w:t>All incidents are tagged with severity and mapped to service tiers.</w:t>
      </w:r>
    </w:p>
    <w:p>
      <w:pPr>
        <w:pStyle w:val="ListBullet"/>
      </w:pPr>
      <w:r>
        <w:t>The Procurement organization uses Vault to enforce consistent service baselines.</w:t>
      </w:r>
    </w:p>
    <w:p>
      <w:pPr>
        <w:pStyle w:val="ListBullet"/>
      </w:pPr>
      <w:r>
        <w:t>Audit sampling occurs monthly and is summarized in leadership dashboards.</w:t>
      </w:r>
    </w:p>
    <w:p>
      <w:pPr>
        <w:pStyle w:val="ListBullet"/>
      </w:pPr>
      <w:r>
        <w:t>Teams must log requests in Google Workspace and track outcomes in Log Aggregation Cluster for audit readiness.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