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Security EU v3.0</w:t>
      </w:r>
    </w:p>
    <w:p>
      <w:r>
        <w:t>Department: Security</w:t>
      </w:r>
    </w:p>
    <w:p>
      <w:r>
        <w:t>Author: Casey Kim</w:t>
      </w:r>
    </w:p>
    <w:p>
      <w:r>
        <w:t>Created date: 2025-10-17</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The process integrates with Payment Processing Service and depends on ServiceNow for telemetry signals. All changes require peer review and validation in the Payment Processing Service before production promotion. Risk acceptance must be documented and revalidated each quarter.</w:t>
      </w:r>
    </w:p>
    <w:p>
      <w:r>
        <w:t>Escalations should follow the on-call rotation with a response target of 30 minutes. Stakeholders include the Security Analyst, service owner, and compliance lead for approvals. All changes require peer review and validation in the Payment Processing Service before production promotion.</w:t>
      </w:r>
    </w:p>
    <w:p>
      <w:pPr>
        <w:pStyle w:val="ListBullet"/>
      </w:pPr>
      <w:r>
        <w:t>The Security team coordinates with Security Analyst to maintain operational readiness.</w:t>
      </w:r>
    </w:p>
    <w:p>
      <w:pPr>
        <w:pStyle w:val="ListBullet"/>
      </w:pPr>
      <w:r>
        <w:t>The Security organization uses ServiceNow to enforce consistent service baselines.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Evidence artifacts are retained in Jira for at least 24 months.</w:t>
      </w:r>
    </w:p>
    <w:p>
      <w:pPr>
        <w:pStyle w:val="ListBullet"/>
      </w:pPr>
      <w:r>
        <w:t>The Security organization uses ServiceNow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Incident drill</w:t>
            </w:r>
          </w:p>
        </w:tc>
        <w:tc>
          <w:tcPr>
            <w:tcW w:type="dxa" w:w="2880"/>
          </w:tcPr>
          <w:p>
            <w:r>
              <w:t>Security</w:t>
            </w:r>
          </w:p>
        </w:tc>
        <w:tc>
          <w:tcPr>
            <w:tcW w:type="dxa" w:w="2880"/>
          </w:tcPr>
          <w:p>
            <w:r>
              <w:t>Planned</w:t>
            </w:r>
          </w:p>
        </w:tc>
      </w:tr>
      <w:tr>
        <w:tc>
          <w:tcPr>
            <w:tcW w:type="dxa" w:w="2880"/>
          </w:tcPr>
          <w:p>
            <w:r>
              <w:t>Access review</w:t>
            </w:r>
          </w:p>
        </w:tc>
        <w:tc>
          <w:tcPr>
            <w:tcW w:type="dxa" w:w="2880"/>
          </w:tcPr>
          <w:p>
            <w:r>
              <w:t>Security Analyst</w:t>
            </w:r>
          </w:p>
        </w:tc>
        <w:tc>
          <w:tcPr>
            <w:tcW w:type="dxa" w:w="2880"/>
          </w:tcPr>
          <w:p>
            <w:r>
              <w:t>Complete</w:t>
            </w:r>
          </w:p>
        </w:tc>
      </w:tr>
      <w:tr>
        <w:tc>
          <w:tcPr>
            <w:tcW w:type="dxa" w:w="2880"/>
          </w:tcPr>
          <w:p>
            <w:r>
              <w:t>Access review</w:t>
            </w:r>
          </w:p>
        </w:tc>
        <w:tc>
          <w:tcPr>
            <w:tcW w:type="dxa" w:w="2880"/>
          </w:tcPr>
          <w:p>
            <w:r>
              <w:t>Operations</w:t>
            </w:r>
          </w:p>
        </w:tc>
        <w:tc>
          <w:tcPr>
            <w:tcW w:type="dxa" w:w="2880"/>
          </w:tcPr>
          <w:p>
            <w:r>
              <w:t>In Progress</w:t>
            </w:r>
          </w:p>
        </w:tc>
      </w:tr>
    </w:tbl>
    <w:p>
      <w:pPr>
        <w:pStyle w:val="Heading1"/>
      </w:pPr>
      <w:r>
        <w:t>Eligibility</w:t>
      </w:r>
    </w:p>
    <w:p>
      <w:r>
        <w:t>Audit sampling occurs monthly and is summarized in leadership dashboards. All incidents are tagged with severity and mapped to service tiers.</w:t>
      </w:r>
    </w:p>
    <w:p>
      <w:r>
        <w:t>We prioritize customer impact, data integrity, and regulatory alignment. The Security organization uses ServiceNow to enforce consistent service baselines.</w:t>
      </w:r>
    </w:p>
    <w:p>
      <w:pPr>
        <w:pStyle w:val="ListBullet"/>
      </w:pPr>
      <w:r>
        <w:t>All changes require peer review and validation in the Payment Processing Service before production promotion.</w:t>
      </w:r>
    </w:p>
    <w:p>
      <w:pPr>
        <w:pStyle w:val="ListBullet"/>
      </w:pPr>
      <w:r>
        <w:t>Teams must log requests in Jira and track outcomes in Payment Processing Service for audit readiness.</w:t>
      </w:r>
    </w:p>
    <w:p>
      <w:pPr>
        <w:pStyle w:val="ListBullet"/>
      </w:pPr>
      <w:r>
        <w:t>All changes require peer review and validation in the Payment Processing Service before production promotion.</w:t>
      </w:r>
    </w:p>
    <w:p>
      <w:pPr>
        <w:pStyle w:val="ListBullet"/>
      </w:pPr>
      <w:r>
        <w:t>Regional teams in EU follow the same policy with localized legal review.</w:t>
      </w:r>
    </w:p>
    <w:p>
      <w:pPr>
        <w:pStyle w:val="ListBullet"/>
      </w:pPr>
      <w:r>
        <w:t>The Security organization uses ServiceNow to enforce consistent service baselines.</w:t>
      </w:r>
    </w:p>
    <w:p>
      <w:pPr>
        <w:pStyle w:val="ListBullet"/>
      </w:pPr>
      <w:r>
        <w:t>We prioritize customer impact, data integrity, and regulatory alignment.</w:t>
      </w:r>
    </w:p>
    <w:p>
      <w:pPr>
        <w:pStyle w:val="Heading1"/>
      </w:pPr>
      <w:r>
        <w:t>Policy Requirements</w:t>
      </w:r>
    </w:p>
    <w:p>
      <w:r>
        <w:t>We prioritize customer impact, data integrity, and regulatory alignment. Escalations should follow the on-call rotation with a response target of 30 minutes.</w:t>
      </w:r>
    </w:p>
    <w:p>
      <w:r>
        <w:t>Stakeholders include the Security Analyst, service owner, and compliance lead for approvals. All incidents are tagged with severity and mapped to service tiers. All changes require peer review and validation in the Payment Processing Service before production promotion. Escalations should follow the on-call rotation with a response target of 30 minutes.</w:t>
      </w:r>
    </w:p>
    <w:p>
      <w:pPr>
        <w:pStyle w:val="ListBullet"/>
      </w:pPr>
      <w:r>
        <w:t>Evidence artifacts are retained in Jira for at least 24 months.</w:t>
      </w:r>
    </w:p>
    <w:p>
      <w:pPr>
        <w:pStyle w:val="ListBullet"/>
      </w:pPr>
      <w:r>
        <w:t>The Security organization uses ServiceNow to enforce consistent service baselines.</w:t>
      </w:r>
    </w:p>
    <w:p>
      <w:pPr>
        <w:pStyle w:val="ListBullet"/>
      </w:pPr>
      <w:r>
        <w:t>Stakeholders include the Security Analyst, service owner, and compliance lead for approvals.</w:t>
      </w:r>
    </w:p>
    <w:p>
      <w:pPr>
        <w:pStyle w:val="Heading1"/>
      </w:pPr>
      <w:r>
        <w:t>Process</w:t>
      </w:r>
    </w:p>
    <w:p>
      <w:r>
        <w:t>Stakeholders include the Security Analyst, service owner, and compliance lead for approvals. Stakeholders include the Security Analyst, service owner, and compliance lead for approvals. The Security organization uses ServiceNow to enforce consistent service baselines.</w:t>
      </w:r>
    </w:p>
    <w:p>
      <w:r>
        <w:t>Audit sampling occurs monthly and is summarized in leadership dashboards. We prioritize customer impact, data integrity, and regulatory alignment.</w:t>
      </w:r>
    </w:p>
    <w:p>
      <w:pPr>
        <w:pStyle w:val="ListBullet"/>
      </w:pPr>
      <w:r>
        <w:t>Teams must log requests in Jira and track outcomes in Payment Processing Service for audit readiness.</w:t>
      </w:r>
    </w:p>
    <w:p>
      <w:pPr>
        <w:pStyle w:val="ListBullet"/>
      </w:pPr>
      <w:r>
        <w:t>All incidents are tagged with severity and mapped to service tiers.</w:t>
      </w:r>
    </w:p>
    <w:p>
      <w:pPr>
        <w:pStyle w:val="ListBullet"/>
      </w:pPr>
      <w:r>
        <w:t>Systems are monitored via ServiceNow and alert routing in Jira.</w:t>
      </w:r>
    </w:p>
    <w:p>
      <w:pPr>
        <w:pStyle w:val="ListBullet"/>
      </w:pPr>
      <w:r>
        <w:t>Stakeholders include the Security Analyst, service owner, and compliance lead for approvals.</w:t>
      </w:r>
    </w:p>
    <w:p>
      <w:pPr>
        <w:pStyle w:val="Heading1"/>
      </w:pPr>
      <w:r>
        <w:t>Exceptions and Escalation</w:t>
      </w:r>
    </w:p>
    <w:p>
      <w:r>
        <w:t>Systems are monitored via ServiceNow and alert routing in Jira. Regional teams in EU follow the same policy with localized legal review. The Security team coordinates with Security Analyst to maintain operational readiness. The process integrates with Payment Processing Service and depends on ServiceNow for telemetry signals.</w:t>
      </w:r>
    </w:p>
    <w:p>
      <w:r>
        <w:t>Regional teams in EU follow the same policy with localized legal review. Evidence artifacts are retained in Jira for at least 24 months. Escalations should follow the on-call rotation with a response target of 30 minutes.</w:t>
      </w:r>
    </w:p>
    <w:p>
      <w:pPr>
        <w:pStyle w:val="ListBullet"/>
      </w:pPr>
      <w:r>
        <w:t>Audit sampling occurs monthly and is summarized in leadership dashboards.</w:t>
      </w:r>
    </w:p>
    <w:p>
      <w:pPr>
        <w:pStyle w:val="ListBullet"/>
      </w:pPr>
      <w:r>
        <w:t>Stakeholders include the Security Analyst, service owner, and compliance lead for approvals.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Systems are monitored via ServiceNow and alert routing in Jira.</w:t>
      </w:r>
    </w:p>
    <w:p>
      <w:pPr>
        <w:pStyle w:val="ListBullet"/>
      </w:pPr>
      <w:r>
        <w:t>The Security team coordinates with Security Analyst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