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Cloud Infrastructure APAC v3.0</w:t>
      </w:r>
    </w:p>
    <w:p>
      <w:r>
        <w:t>Department: Cloud Infrastructure</w:t>
      </w:r>
    </w:p>
    <w:p>
      <w:r>
        <w:t>Author: Taylor Kim</w:t>
      </w:r>
    </w:p>
    <w:p>
      <w:r>
        <w:t>Created date: 2024-02-11</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The Cloud Infrastructure team coordinates with Release Manager to maintain operational readiness. Evidence artifacts are retained in Google Workspace for at least 18 months. Regional teams in APAC follow the same policy with localized legal review.</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ListBullet"/>
      </w:pPr>
      <w:r>
        <w:t>All incidents are tagged with severity and mapped to service tiers.</w:t>
      </w:r>
    </w:p>
    <w:p>
      <w:pPr>
        <w:pStyle w:val="Heading1"/>
      </w:pPr>
      <w:r>
        <w:t>Access Control</w:t>
      </w:r>
    </w:p>
    <w:p>
      <w:r>
        <w:t>Escalations should follow the on-call rotation with a response target of 45 minutes. Evidence artifacts are retained in Google Workspace for at least 18 months. Stakeholders include the Release Manager, service owner, and compliance lead for approvals.</w:t>
      </w:r>
    </w:p>
    <w:p>
      <w:r>
        <w:t>Escalations should follow the on-call rotation with a response target of 45 minutes. This document aligns with ISO 27001 requirements and supports APAC data residency expectations.</w:t>
      </w:r>
    </w:p>
    <w:p>
      <w:pPr>
        <w:pStyle w:val="ListBullet"/>
      </w:pPr>
      <w:r>
        <w:t>The process integrates with Customer Data Lake and depends on Azure AD for telemetry signals.</w:t>
      </w:r>
    </w:p>
    <w:p>
      <w:pPr>
        <w:pStyle w:val="ListBullet"/>
      </w:pPr>
      <w:r>
        <w:t>Systems are monitored via Azure AD and alert routing in Google Workspace.</w:t>
      </w:r>
    </w:p>
    <w:p>
      <w:pPr>
        <w:pStyle w:val="ListBullet"/>
      </w:pPr>
      <w:r>
        <w:t>Evidence artifacts are retained in Google Workspace for at least 18 months.</w:t>
      </w:r>
    </w:p>
    <w:p>
      <w:pPr>
        <w:pStyle w:val="Heading1"/>
      </w:pPr>
      <w:r>
        <w:t>Monitoring</w:t>
      </w:r>
    </w:p>
    <w:p>
      <w:r>
        <w:t>The Cloud Infrastructure team coordinates with Release Manager to maintain operational readiness. Teams must log requests in Google Workspace and track outcomes in Customer Data Lake for audit readiness.</w:t>
      </w:r>
    </w:p>
    <w:p>
      <w:r>
        <w:t>The Cloud Infrastructure organization uses Azure AD to enforce consistent service baselines. The Cloud Infrastructure organization uses Azure AD to enforce consistent service baselines. Risk acceptance must be documented and revalidated each quarter. Audit sampling occurs monthly and is summarized in leadership dashboards.</w:t>
      </w:r>
    </w:p>
    <w:p>
      <w:pPr>
        <w:pStyle w:val="ListBullet"/>
      </w:pPr>
      <w:r>
        <w:t>The process integrates with Customer Data Lake and depends on Azure AD for telemetry signals.</w:t>
      </w:r>
    </w:p>
    <w:p>
      <w:pPr>
        <w:pStyle w:val="ListBullet"/>
      </w:pPr>
      <w:r>
        <w:t>The process integrates with Customer Data Lake and depends on Azure AD for telemetry signals.</w:t>
      </w:r>
    </w:p>
    <w:p>
      <w:pPr>
        <w:pStyle w:val="ListBullet"/>
      </w:pPr>
      <w:r>
        <w:t>Regional teams in APAC follow the same policy with localized legal review.</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Evidence artifacts are retained in Google Workspace for at least 18 months.</w:t>
      </w:r>
    </w:p>
    <w:p>
      <w:pPr>
        <w:pStyle w:val="Heading1"/>
      </w:pPr>
      <w:r>
        <w:t>Incident Response</w:t>
      </w:r>
    </w:p>
    <w:p>
      <w:r>
        <w:t>Stakeholders include the Release Manager, service owner, and compliance lead for approvals. Evidence artifacts are retained in Google Workspace for at least 18 months. Regional teams in APAC follow the same policy with localized legal review.</w:t>
      </w:r>
    </w:p>
    <w:p>
      <w:r>
        <w:t>We prioritize customer impact, data integrity, and regulatory alignment. Audit sampling occurs monthly and is summarized in leadership dashboards.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ListBullet"/>
      </w:pPr>
      <w:r>
        <w:t>The Cloud Infrastructure organization uses Azure AD to enforce consistent service baselines.</w:t>
      </w:r>
    </w:p>
    <w:p>
      <w:pPr>
        <w:pStyle w:val="Heading1"/>
      </w:pPr>
      <w:r>
        <w:t>Audit Requirements</w:t>
      </w:r>
    </w:p>
    <w:p>
      <w:r>
        <w:t>Regional teams in APAC follow the same policy with localized legal review. The Cloud Infrastructure organization uses Azure AD to enforce consistent service baselines. All incidents are tagged with severity and mapped to service tiers. Teams must log requests in Google Workspace and track outcomes in Customer Data Lake for audit readiness.</w:t>
      </w:r>
    </w:p>
    <w:p>
      <w:pPr>
        <w:pStyle w:val="ListBullet"/>
      </w:pPr>
      <w:r>
        <w:t>Systems are monitored via Azure AD and alert routing in Google Workspace.</w:t>
      </w:r>
    </w:p>
    <w:p>
      <w:pPr>
        <w:pStyle w:val="ListBullet"/>
      </w:pPr>
      <w:r>
        <w:t>Teams must log requests in Google Workspace and track outcomes in Customer Data Lake for audit readiness.</w:t>
      </w:r>
    </w:p>
    <w:p>
      <w:pPr>
        <w:pStyle w:val="ListBullet"/>
      </w:pPr>
      <w:r>
        <w:t>The Cloud Infrastructure organization uses Azure AD to enforce consistent service baselines.</w:t>
      </w:r>
    </w:p>
    <w:p>
      <w:pPr>
        <w:pStyle w:val="ListBullet"/>
      </w:pPr>
      <w:r>
        <w:t>Evidence artifacts are retained in Google Workspace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Cloud Infrastructure</w:t>
            </w:r>
          </w:p>
        </w:tc>
        <w:tc>
          <w:tcPr>
            <w:tcW w:type="dxa" w:w="2880"/>
          </w:tcPr>
          <w:p>
            <w:r>
              <w:t>In Progress</w:t>
            </w:r>
          </w:p>
        </w:tc>
      </w:tr>
      <w:tr>
        <w:tc>
          <w:tcPr>
            <w:tcW w:type="dxa" w:w="2880"/>
          </w:tcPr>
          <w:p>
            <w:r>
              <w:t>Incident drill</w:t>
            </w:r>
          </w:p>
        </w:tc>
        <w:tc>
          <w:tcPr>
            <w:tcW w:type="dxa" w:w="2880"/>
          </w:tcPr>
          <w:p>
            <w:r>
              <w:t>Release Manager</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