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Cloud Infrastructure US v2.1</w:t>
      </w:r>
    </w:p>
    <w:p>
      <w:r>
        <w:t>Department: Cloud Infrastructure</w:t>
      </w:r>
    </w:p>
    <w:p>
      <w:r>
        <w:t>Author: Riley Smith</w:t>
      </w:r>
    </w:p>
    <w:p>
      <w:r>
        <w:t>Created date: 2024-06-24</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Systems are monitored via Datadog and alert routing in Zoom. The process integrates with Identity Access Gateway and depends on Datadog for telemetry signals. The process integrates with Identity Access Gateway and depends on Datadog for telemetry signals.</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This document aligns with SOX requirements and supports US data residency expectations.</w:t>
      </w:r>
    </w:p>
    <w:p>
      <w:pPr>
        <w:pStyle w:val="Heading1"/>
      </w:pPr>
      <w:r>
        <w:t>Access Control</w:t>
      </w:r>
    </w:p>
    <w:p>
      <w:r>
        <w:t>This document aligns with SOX requirements and supports US data residency expectations. Regional teams in US follow the same policy with localized legal review. The Cloud Infrastructure organization uses Datadog to enforce consistent service baselines. Stakeholders include the Compliance Manager, service owner, and compliance lead for approvals.</w:t>
      </w:r>
    </w:p>
    <w:p>
      <w:pPr>
        <w:pStyle w:val="ListBullet"/>
      </w:pPr>
      <w:r>
        <w:t>The process integrates with Identity Access Gateway and depends on Datadog for telemetry signals.</w:t>
      </w:r>
    </w:p>
    <w:p>
      <w:pPr>
        <w:pStyle w:val="ListBullet"/>
      </w:pPr>
      <w:r>
        <w:t>Escalations should follow the on-call rotation with a response target of 15 minutes.</w:t>
      </w:r>
    </w:p>
    <w:p>
      <w:pPr>
        <w:pStyle w:val="ListBullet"/>
      </w:pPr>
      <w:r>
        <w:t>Regional teams in US follow the same policy with localized legal review.</w:t>
      </w:r>
    </w:p>
    <w:p>
      <w:pPr>
        <w:pStyle w:val="ListBullet"/>
      </w:pPr>
      <w:r>
        <w:t>Risk acceptance must be documented and revalidated each quarter.</w:t>
      </w:r>
    </w:p>
    <w:p>
      <w:pPr>
        <w:pStyle w:val="ListBullet"/>
      </w:pPr>
      <w:r>
        <w:t>Escalations should follow the on-call rotation with a response target of 15 minutes.</w:t>
      </w:r>
    </w:p>
    <w:p>
      <w:pPr>
        <w:pStyle w:val="Heading1"/>
      </w:pPr>
      <w:r>
        <w:t>Monitoring</w:t>
      </w:r>
    </w:p>
    <w:p>
      <w:r>
        <w:t>Teams must log requests in Zoom and track outcomes in Identity Access Gateway for audit readiness. Escalations should follow the on-call rotation with a response target of 15 minutes. Escalations should follow the on-call rotation with a response target of 15 minutes. All incidents are tagged with severity and mapped to service tiers.</w:t>
      </w:r>
    </w:p>
    <w:p>
      <w:pPr>
        <w:pStyle w:val="ListBullet"/>
      </w:pPr>
      <w:r>
        <w:t>The Cloud Infrastructure team coordinates with Compliance Manager to maintain operational readiness.</w:t>
      </w:r>
    </w:p>
    <w:p>
      <w:pPr>
        <w:pStyle w:val="ListBullet"/>
      </w:pPr>
      <w:r>
        <w:t>Teams must log requests in Zoom and track outcomes in Identity Access Gateway for audit readiness.</w:t>
      </w:r>
    </w:p>
    <w:p>
      <w:pPr>
        <w:pStyle w:val="ListBullet"/>
      </w:pPr>
      <w:r>
        <w:t>The Cloud Infrastructure organization uses Datadog to enforce consistent service baselines.</w:t>
      </w:r>
    </w:p>
    <w:p>
      <w:pPr>
        <w:pStyle w:val="ListBullet"/>
      </w:pPr>
      <w:r>
        <w:t>Escalations should follow the on-call rotation with a response target of 15 minutes.</w:t>
      </w:r>
    </w:p>
    <w:p>
      <w:pPr>
        <w:pStyle w:val="ListBullet"/>
      </w:pPr>
      <w:r>
        <w:t>Systems are monitored via Datadog and alert routing in Zoom.</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Compliance Manager</w:t>
            </w:r>
          </w:p>
        </w:tc>
        <w:tc>
          <w:tcPr>
            <w:tcW w:type="dxa" w:w="2880"/>
          </w:tcPr>
          <w:p>
            <w:r>
              <w:t>Planned</w:t>
            </w:r>
          </w:p>
        </w:tc>
      </w:tr>
      <w:tr>
        <w:tc>
          <w:tcPr>
            <w:tcW w:type="dxa" w:w="2880"/>
          </w:tcPr>
          <w:p>
            <w:r>
              <w:t>Access review</w:t>
            </w:r>
          </w:p>
        </w:tc>
        <w:tc>
          <w:tcPr>
            <w:tcW w:type="dxa" w:w="2880"/>
          </w:tcPr>
          <w:p>
            <w:r>
              <w:t>Cloud Infrastructure</w:t>
            </w:r>
          </w:p>
        </w:tc>
        <w:tc>
          <w:tcPr>
            <w:tcW w:type="dxa" w:w="2880"/>
          </w:tcPr>
          <w:p>
            <w:r>
              <w:t>Complete</w:t>
            </w:r>
          </w:p>
        </w:tc>
      </w:tr>
      <w:tr>
        <w:tc>
          <w:tcPr>
            <w:tcW w:type="dxa" w:w="2880"/>
          </w:tcPr>
          <w:p>
            <w:r>
              <w:t>Vendor check</w:t>
            </w:r>
          </w:p>
        </w:tc>
        <w:tc>
          <w:tcPr>
            <w:tcW w:type="dxa" w:w="2880"/>
          </w:tcPr>
          <w:p>
            <w:r>
              <w:t>Security</w:t>
            </w:r>
          </w:p>
        </w:tc>
        <w:tc>
          <w:tcPr>
            <w:tcW w:type="dxa" w:w="2880"/>
          </w:tcPr>
          <w:p>
            <w:r>
              <w:t>Planned</w:t>
            </w:r>
          </w:p>
        </w:tc>
      </w:tr>
      <w:tr>
        <w:tc>
          <w:tcPr>
            <w:tcW w:type="dxa" w:w="2880"/>
          </w:tcPr>
          <w:p>
            <w:r>
              <w:t>Access review</w:t>
            </w:r>
          </w:p>
        </w:tc>
        <w:tc>
          <w:tcPr>
            <w:tcW w:type="dxa" w:w="2880"/>
          </w:tcPr>
          <w:p>
            <w:r>
              <w:t>Cloud Infrastructure</w:t>
            </w:r>
          </w:p>
        </w:tc>
        <w:tc>
          <w:tcPr>
            <w:tcW w:type="dxa" w:w="2880"/>
          </w:tcPr>
          <w:p>
            <w:r>
              <w:t>Blocked</w:t>
            </w:r>
          </w:p>
        </w:tc>
      </w:tr>
    </w:tbl>
    <w:p>
      <w:pPr>
        <w:pStyle w:val="Heading1"/>
      </w:pPr>
      <w:r>
        <w:t>Incident Response</w:t>
      </w:r>
    </w:p>
    <w:p>
      <w:r>
        <w:t>The Cloud Infrastructure team coordinates with Compliance Manager to maintain operational readiness. Systems are monitored via Datadog and alert routing in Zoom. The process integrates with Identity Access Gateway and depends on Datadog for telemetry signals. All incidents are tagged with severity and mapped to service tiers.</w:t>
      </w:r>
    </w:p>
    <w:p>
      <w:r>
        <w:t>This document aligns with SOX requirements and supports US data residency expectations. Escalations should follow the on-call rotation with a response target of 15 minutes. We prioritize customer impact, data integrity, and regulatory alignment.</w:t>
      </w:r>
    </w:p>
    <w:p>
      <w:pPr>
        <w:pStyle w:val="ListBullet"/>
      </w:pPr>
      <w:r>
        <w:t>The process integrates with Identity Access Gateway and depends on Datadog for telemetry signals.</w:t>
      </w:r>
    </w:p>
    <w:p>
      <w:pPr>
        <w:pStyle w:val="ListBullet"/>
      </w:pPr>
      <w:r>
        <w:t>Audit sampling occurs monthly and is summarized in leadership dashboards.</w:t>
      </w:r>
    </w:p>
    <w:p>
      <w:pPr>
        <w:pStyle w:val="ListBullet"/>
      </w:pPr>
      <w:r>
        <w:t>Regional teams in US follow the same policy with localized legal review.</w:t>
      </w:r>
    </w:p>
    <w:p>
      <w:pPr>
        <w:pStyle w:val="ListBullet"/>
      </w:pPr>
      <w:r>
        <w:t>Stakeholders include the Compliance Manager, service owner, and compliance lead for approvals.</w:t>
      </w:r>
    </w:p>
    <w:p>
      <w:pPr>
        <w:pStyle w:val="ListBullet"/>
      </w:pPr>
      <w:r>
        <w:t>Teams must log requests in Zoom and track outcomes in Identity Access Gateway for audit readiness.</w:t>
      </w:r>
    </w:p>
    <w:p>
      <w:pPr>
        <w:pStyle w:val="ListBullet"/>
      </w:pPr>
      <w:r>
        <w:t>All changes require peer review and validation in the Identity Access Gateway before production promotion.</w:t>
      </w:r>
    </w:p>
    <w:p>
      <w:pPr>
        <w:pStyle w:val="Heading1"/>
      </w:pPr>
      <w:r>
        <w:t>Audit Requirements</w:t>
      </w:r>
    </w:p>
    <w:p>
      <w:r>
        <w:t>All changes require peer review and validation in the Identity Access Gateway before production promotion. This document aligns with SOX requirements and supports US data residency expectations. All incidents are tagged with severity and mapped to service tiers. Regional teams in US follow the same policy with localized legal review.</w:t>
      </w:r>
    </w:p>
    <w:p>
      <w:pPr>
        <w:pStyle w:val="ListBullet"/>
      </w:pPr>
      <w:r>
        <w:t>All changes require peer review and validation in the Identity Access Gateway before production promotion.</w:t>
      </w:r>
    </w:p>
    <w:p>
      <w:pPr>
        <w:pStyle w:val="ListBullet"/>
      </w:pPr>
      <w:r>
        <w:t>Risk acceptance must be documented and revalidated each quarter.</w:t>
      </w:r>
    </w:p>
    <w:p>
      <w:pPr>
        <w:pStyle w:val="ListBullet"/>
      </w:pPr>
      <w:r>
        <w:t>Evidence artifacts are retained in Zoom for at least 12 months.</w:t>
      </w:r>
    </w:p>
    <w:p>
      <w:pPr>
        <w:pStyle w:val="ListBullet"/>
      </w:pPr>
      <w:r>
        <w:t>All changes require peer review and validation in the Identity Access Gateway before production promotion.</w:t>
      </w:r>
    </w:p>
    <w:p>
      <w:pPr>
        <w:pStyle w:val="ListBullet"/>
      </w:pPr>
      <w:r>
        <w:t>All incidents are tagged with severity and mapped to service tiers.</w:t>
      </w:r>
    </w:p>
    <w:p>
      <w:pPr>
        <w:pStyle w:val="ListBullet"/>
      </w:pPr>
      <w:r>
        <w:t>All changes require peer review and validation in the Identity Access Gateway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