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Customer Support US v1.2</w:t>
      </w:r>
    </w:p>
    <w:p>
      <w:r>
        <w:t>Department: Customer Support</w:t>
      </w:r>
    </w:p>
    <w:p>
      <w:r>
        <w:t>Author: Taylor Garcia</w:t>
      </w:r>
    </w:p>
    <w:p>
      <w:r>
        <w:t>Created date: 2024-09-09</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Escalations should follow the on-call rotation with a response target of 60 minutes. Regional teams in US follow the same policy with localized legal review.</w:t>
      </w:r>
    </w:p>
    <w:p>
      <w:pPr>
        <w:pStyle w:val="ListBullet"/>
      </w:pPr>
      <w:r>
        <w:t>The Customer Support team coordinates with Product Manager to maintain operational readiness.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This document aligns with ISO 27001 requirements and supports US data residency expectations.</w:t>
      </w:r>
    </w:p>
    <w:p>
      <w:pPr>
        <w:pStyle w:val="ListBullet"/>
      </w:pPr>
      <w:r>
        <w:t>Audit sampling occurs monthly and is summarized in leadership dashboards.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Complete</w:t>
            </w:r>
          </w:p>
        </w:tc>
      </w:tr>
    </w:tbl>
    <w:p>
      <w:pPr>
        <w:pStyle w:val="Heading1"/>
      </w:pPr>
      <w:r>
        <w:t>Access Control</w:t>
      </w:r>
    </w:p>
    <w:p>
      <w:r>
        <w:t>We prioritize customer impact, data integrity, and regulatory alignment. Systems are monitored via Kubernetes and alert routing in Confluence. Evidence artifacts are retained in Confluence for at least 36 months.</w:t>
      </w:r>
    </w:p>
    <w:p>
      <w:r>
        <w:t>Escalations should follow the on-call rotation with a response target of 60 minutes. Audit sampling occurs monthly and is summarized in leadership dashboards. The process integrates with Document Repository and depends on Kubernetes for telemetry signals. Risk acceptance must be documented and revalidated each quarter.</w:t>
      </w:r>
    </w:p>
    <w:p>
      <w:pPr>
        <w:pStyle w:val="ListBullet"/>
      </w:pPr>
      <w:r>
        <w:t>Evidence artifacts are retained in Confluence for at least 36 months.</w:t>
      </w:r>
    </w:p>
    <w:p>
      <w:pPr>
        <w:pStyle w:val="ListBullet"/>
      </w:pPr>
      <w:r>
        <w:t>Evidence artifacts are retained in Confluence for at least 36 months.</w:t>
      </w:r>
    </w:p>
    <w:p>
      <w:pPr>
        <w:pStyle w:val="ListBullet"/>
      </w:pPr>
      <w:r>
        <w:t>Evidence artifacts are retained in Confluence for at least 36 months.</w:t>
      </w:r>
    </w:p>
    <w:p>
      <w:pPr>
        <w:pStyle w:val="ListBullet"/>
      </w:pPr>
      <w:r>
        <w:t>All changes require peer review and validation in the Document Repository before production promotion.</w:t>
      </w:r>
    </w:p>
    <w:p>
      <w:pPr>
        <w:pStyle w:val="Heading1"/>
      </w:pPr>
      <w:r>
        <w:t>Monitoring</w:t>
      </w:r>
    </w:p>
    <w:p>
      <w:r>
        <w:t>Systems are monitored via Kubernetes and alert routing in Confluence. The process integrates with Document Repository and depends on Kubernetes for telemetry signals. The process integrates with Document Repository and depends on Kubernetes for telemetry signals. Escalations should follow the on-call rotation with a response target of 60 minutes.</w:t>
      </w:r>
    </w:p>
    <w:p>
      <w:r>
        <w:t>The Customer Support organization uses Kubernetes to enforce consistent service baselines. Escalations should follow the on-call rotation with a response target of 60 minutes.</w:t>
      </w:r>
    </w:p>
    <w:p>
      <w:pPr>
        <w:pStyle w:val="ListBullet"/>
      </w:pPr>
      <w:r>
        <w:t>All changes require peer review and validation in the Document Repository before production promotion.</w:t>
      </w:r>
    </w:p>
    <w:p>
      <w:pPr>
        <w:pStyle w:val="ListBullet"/>
      </w:pPr>
      <w:r>
        <w:t>Systems are monitored via Kubernetes and alert routing in Confluence.</w:t>
      </w:r>
    </w:p>
    <w:p>
      <w:pPr>
        <w:pStyle w:val="ListBullet"/>
      </w:pPr>
      <w:r>
        <w:t>Stakeholders include the Product Manager, service owner, and compliance lead for approvals.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Customer Support</w:t>
            </w:r>
          </w:p>
        </w:tc>
        <w:tc>
          <w:tcPr>
            <w:tcW w:type="dxa" w:w="2880"/>
          </w:tcPr>
          <w:p>
            <w:r>
              <w:t>In Progress</w:t>
            </w:r>
          </w:p>
        </w:tc>
      </w:tr>
      <w:tr>
        <w:tc>
          <w:tcPr>
            <w:tcW w:type="dxa" w:w="2880"/>
          </w:tcPr>
          <w:p>
            <w:r>
              <w:t>Incident drill</w:t>
            </w:r>
          </w:p>
        </w:tc>
        <w:tc>
          <w:tcPr>
            <w:tcW w:type="dxa" w:w="2880"/>
          </w:tcPr>
          <w:p>
            <w:r>
              <w:t>Security</w:t>
            </w:r>
          </w:p>
        </w:tc>
        <w:tc>
          <w:tcPr>
            <w:tcW w:type="dxa" w:w="2880"/>
          </w:tcPr>
          <w:p>
            <w:r>
              <w:t>Complete</w:t>
            </w:r>
          </w:p>
        </w:tc>
      </w:tr>
      <w:tr>
        <w:tc>
          <w:tcPr>
            <w:tcW w:type="dxa" w:w="2880"/>
          </w:tcPr>
          <w:p>
            <w:r>
              <w:t>Access review</w:t>
            </w:r>
          </w:p>
        </w:tc>
        <w:tc>
          <w:tcPr>
            <w:tcW w:type="dxa" w:w="2880"/>
          </w:tcPr>
          <w:p>
            <w:r>
              <w:t>Product Manager</w:t>
            </w:r>
          </w:p>
        </w:tc>
        <w:tc>
          <w:tcPr>
            <w:tcW w:type="dxa" w:w="2880"/>
          </w:tcPr>
          <w:p>
            <w:r>
              <w:t>Complete</w:t>
            </w:r>
          </w:p>
        </w:tc>
      </w:tr>
    </w:tbl>
    <w:p>
      <w:pPr>
        <w:pStyle w:val="Heading1"/>
      </w:pPr>
      <w:r>
        <w:t>Incident Response</w:t>
      </w:r>
    </w:p>
    <w:p>
      <w:r>
        <w:t>Risk acceptance must be documented and revalidated each quarter. Evidence artifacts are retained in Confluence for at least 36 months.</w:t>
      </w:r>
    </w:p>
    <w:p>
      <w:r>
        <w:t>This document aligns with ISO 27001 requirements and supports US data residency expectations. Stakeholders include the Product Manager, service owner, and compliance lead for approvals.</w:t>
      </w:r>
    </w:p>
    <w:p>
      <w:pPr>
        <w:pStyle w:val="ListBullet"/>
      </w:pPr>
      <w:r>
        <w:t>This document aligns with ISO 27001 requirements and supports US data residency expectations.</w:t>
      </w:r>
    </w:p>
    <w:p>
      <w:pPr>
        <w:pStyle w:val="ListBullet"/>
      </w:pPr>
      <w:r>
        <w:t>Stakeholders include the Product Manager, service owner, and compliance lead for approvals.</w:t>
      </w:r>
    </w:p>
    <w:p>
      <w:pPr>
        <w:pStyle w:val="ListBullet"/>
      </w:pPr>
      <w:r>
        <w:t>Systems are monitored via Kubernetes and alert routing in Confluence.</w:t>
      </w:r>
    </w:p>
    <w:p>
      <w:pPr>
        <w:pStyle w:val="Heading1"/>
      </w:pPr>
      <w:r>
        <w:t>Audit Requirements</w:t>
      </w:r>
    </w:p>
    <w:p>
      <w:r>
        <w:t>Systems are monitored via Kubernetes and alert routing in Confluence. The Customer Support team coordinates with Product Manager to maintain operational readiness.</w:t>
      </w:r>
    </w:p>
    <w:p>
      <w:pPr>
        <w:pStyle w:val="ListBullet"/>
      </w:pPr>
      <w:r>
        <w:t>Risk acceptance must be documented and revalidated each quarter.</w:t>
      </w:r>
    </w:p>
    <w:p>
      <w:pPr>
        <w:pStyle w:val="ListBullet"/>
      </w:pPr>
      <w:r>
        <w:t>Stakeholders include the Product Manager, service owner, and compliance lead for approvals.</w:t>
      </w:r>
    </w:p>
    <w:p>
      <w:pPr>
        <w:pStyle w:val="ListBullet"/>
      </w:pPr>
      <w:r>
        <w:t>The Customer Support organization uses Kubernetes to enforce consistent service baselines.</w:t>
      </w:r>
    </w:p>
    <w:p>
      <w:pPr>
        <w:pStyle w:val="ListBullet"/>
      </w:pPr>
      <w:r>
        <w:t>Audit sampling occurs monthly and is summarized in leadership dashboards.</w:t>
      </w:r>
    </w:p>
    <w:p>
      <w:pPr>
        <w:pStyle w:val="ListBullet"/>
      </w:pPr>
      <w:r>
        <w:t>The process integrates with Document Repository and depends on Kubernetes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