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Security - Data Platform APAC v2.1</w:t>
      </w:r>
    </w:p>
    <w:p>
      <w:r>
        <w:t>Department: Data Platform</w:t>
      </w:r>
    </w:p>
    <w:p>
      <w:r>
        <w:t>Author: Casey Kim</w:t>
      </w:r>
    </w:p>
    <w:p>
      <w:r>
        <w:t>Created date: 2025-08-21</w:t>
      </w:r>
    </w:p>
    <w:p>
      <w:r>
        <w:t>Region: APAC</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Overview</w:t>
      </w:r>
    </w:p>
    <w:p>
      <w:r>
        <w:t>Stakeholders include the SRE, service owner, and compliance lead for approvals. The Data Platform team coordinates with SRE to maintain operational readiness. The Data Platform organization uses Redis to enforce consistent service baselines. Risk acceptance must be documented and revalidated each quarter.</w:t>
      </w:r>
    </w:p>
    <w:p>
      <w:r>
        <w:t>All incidents are tagged with severity and mapped to service tiers. The process integrates with Ticketing Platform and depends on Redis for telemetry signals.</w:t>
      </w:r>
    </w:p>
    <w:p>
      <w:pPr>
        <w:pStyle w:val="ListBullet"/>
      </w:pPr>
      <w:r>
        <w:t>Teams must log requests in GitHub Enterprise and track outcomes in Ticketing Platform for audit readiness.</w:t>
      </w:r>
    </w:p>
    <w:p>
      <w:pPr>
        <w:pStyle w:val="ListBullet"/>
      </w:pPr>
      <w:r>
        <w:t>Audit sampling occurs monthly and is summarized in leadership dashboards.</w:t>
      </w:r>
    </w:p>
    <w:p>
      <w:pPr>
        <w:pStyle w:val="ListBullet"/>
      </w:pPr>
      <w:r>
        <w:t>Escalations should follow the on-call rotation with a response target of 45 minutes.</w:t>
      </w:r>
    </w:p>
    <w:p>
      <w:pPr>
        <w:pStyle w:val="ListBullet"/>
      </w:pPr>
      <w:r>
        <w:t>Regional teams in APAC follow the same policy with localized legal review.</w:t>
      </w:r>
    </w:p>
    <w:p>
      <w:pPr>
        <w:pStyle w:val="ListBullet"/>
      </w:pPr>
      <w:r>
        <w:t>Escalations should follow the on-call rotation with a response target of 45 minutes.</w:t>
      </w:r>
    </w:p>
    <w:p>
      <w:pPr>
        <w:pStyle w:val="ListBullet"/>
      </w:pPr>
      <w:r>
        <w:t>This document aligns with SOC 2 requirements and supports APAC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Operations</w:t>
            </w:r>
          </w:p>
        </w:tc>
        <w:tc>
          <w:tcPr>
            <w:tcW w:type="dxa" w:w="2880"/>
          </w:tcPr>
          <w:p>
            <w:r>
              <w:t>In Progress</w:t>
            </w:r>
          </w:p>
        </w:tc>
      </w:tr>
      <w:tr>
        <w:tc>
          <w:tcPr>
            <w:tcW w:type="dxa" w:w="2880"/>
          </w:tcPr>
          <w:p>
            <w:r>
              <w:t>Incident drill</w:t>
            </w:r>
          </w:p>
        </w:tc>
        <w:tc>
          <w:tcPr>
            <w:tcW w:type="dxa" w:w="2880"/>
          </w:tcPr>
          <w:p>
            <w:r>
              <w:t>Security</w:t>
            </w:r>
          </w:p>
        </w:tc>
        <w:tc>
          <w:tcPr>
            <w:tcW w:type="dxa" w:w="2880"/>
          </w:tcPr>
          <w:p>
            <w:r>
              <w:t>Planned</w:t>
            </w:r>
          </w:p>
        </w:tc>
      </w:tr>
      <w:tr>
        <w:tc>
          <w:tcPr>
            <w:tcW w:type="dxa" w:w="2880"/>
          </w:tcPr>
          <w:p>
            <w:r>
              <w:t>Access review</w:t>
            </w:r>
          </w:p>
        </w:tc>
        <w:tc>
          <w:tcPr>
            <w:tcW w:type="dxa" w:w="2880"/>
          </w:tcPr>
          <w:p>
            <w:r>
              <w:t>Security</w:t>
            </w:r>
          </w:p>
        </w:tc>
        <w:tc>
          <w:tcPr>
            <w:tcW w:type="dxa" w:w="2880"/>
          </w:tcPr>
          <w:p>
            <w:r>
              <w:t>In Progress</w:t>
            </w:r>
          </w:p>
        </w:tc>
      </w:tr>
      <w:tr>
        <w:tc>
          <w:tcPr>
            <w:tcW w:type="dxa" w:w="2880"/>
          </w:tcPr>
          <w:p>
            <w:r>
              <w:t>Patch window</w:t>
            </w:r>
          </w:p>
        </w:tc>
        <w:tc>
          <w:tcPr>
            <w:tcW w:type="dxa" w:w="2880"/>
          </w:tcPr>
          <w:p>
            <w:r>
              <w:t>Data Platform</w:t>
            </w:r>
          </w:p>
        </w:tc>
        <w:tc>
          <w:tcPr>
            <w:tcW w:type="dxa" w:w="2880"/>
          </w:tcPr>
          <w:p>
            <w:r>
              <w:t>Planned</w:t>
            </w:r>
          </w:p>
        </w:tc>
      </w:tr>
    </w:tbl>
    <w:p>
      <w:pPr>
        <w:pStyle w:val="Heading1"/>
      </w:pPr>
      <w:r>
        <w:t>Access Control</w:t>
      </w:r>
    </w:p>
    <w:p>
      <w:r>
        <w:t>All changes require peer review and validation in the Ticketing Platform before production promotion. Escalations should follow the on-call rotation with a response target of 45 minutes.</w:t>
      </w:r>
    </w:p>
    <w:p>
      <w:pPr>
        <w:pStyle w:val="ListBullet"/>
      </w:pPr>
      <w:r>
        <w:t>The Data Platform team coordinates with SRE to maintain operational readiness.</w:t>
      </w:r>
    </w:p>
    <w:p>
      <w:pPr>
        <w:pStyle w:val="ListBullet"/>
      </w:pPr>
      <w:r>
        <w:t>Regional teams in APAC follow the same policy with localized legal review.</w:t>
      </w:r>
    </w:p>
    <w:p>
      <w:pPr>
        <w:pStyle w:val="ListBullet"/>
      </w:pPr>
      <w:r>
        <w:t>Evidence artifacts are retained in GitHub Enterprise for at least 36 months.</w:t>
      </w:r>
    </w:p>
    <w:p>
      <w:pPr>
        <w:pStyle w:val="ListBullet"/>
      </w:pPr>
      <w:r>
        <w:t>This document aligns with SOC 2 requirements and supports APAC data residency expectations.</w:t>
      </w:r>
    </w:p>
    <w:p>
      <w:pPr>
        <w:pStyle w:val="ListBullet"/>
      </w:pPr>
      <w:r>
        <w:t>Audit sampling occurs monthly and is summarized in leadership dashboards.</w:t>
      </w:r>
    </w:p>
    <w:p>
      <w:pPr>
        <w:pStyle w:val="Heading1"/>
      </w:pPr>
      <w:r>
        <w:t>Monitoring</w:t>
      </w:r>
    </w:p>
    <w:p>
      <w:r>
        <w:t>Audit sampling occurs monthly and is summarized in leadership dashboards. The Data Platform team coordinates with SRE to maintain operational readiness. Escalations should follow the on-call rotation with a response target of 45 minutes. Escalations should follow the on-call rotation with a response target of 45 minutes.</w:t>
      </w:r>
    </w:p>
    <w:p>
      <w:r>
        <w:t>Audit sampling occurs monthly and is summarized in leadership dashboards. The Data Platform team coordinates with SRE to maintain operational readiness. All incidents are tagged with severity and mapped to service tiers.</w:t>
      </w:r>
    </w:p>
    <w:p>
      <w:pPr>
        <w:pStyle w:val="ListBullet"/>
      </w:pPr>
      <w:r>
        <w:t>Stakeholders include the SRE, service owner, and compliance lead for approvals.</w:t>
      </w:r>
    </w:p>
    <w:p>
      <w:pPr>
        <w:pStyle w:val="ListBullet"/>
      </w:pPr>
      <w:r>
        <w:t>This document aligns with SOC 2 requirements and supports APAC data residency expectations.</w:t>
      </w:r>
    </w:p>
    <w:p>
      <w:pPr>
        <w:pStyle w:val="ListBullet"/>
      </w:pPr>
      <w:r>
        <w:t>Risk acceptance must be documented and revalidated each quarter.</w:t>
      </w:r>
    </w:p>
    <w:p>
      <w:pPr>
        <w:pStyle w:val="ListBullet"/>
      </w:pPr>
      <w:r>
        <w:t>The Data Platform organization uses Redis to enforce consistent service baselines.</w:t>
      </w:r>
    </w:p>
    <w:p>
      <w:pPr>
        <w:pStyle w:val="Heading1"/>
      </w:pPr>
      <w:r>
        <w:t>Incident Response</w:t>
      </w:r>
    </w:p>
    <w:p>
      <w:r>
        <w:t>Escalations should follow the on-call rotation with a response target of 45 minutes. The Data Platform team coordinates with SRE to maintain operational readiness. Teams must log requests in GitHub Enterprise and track outcomes in Ticketing Platform for audit readiness. Audit sampling occurs monthly and is summarized in leadership dashboards.</w:t>
      </w:r>
    </w:p>
    <w:p>
      <w:pPr>
        <w:pStyle w:val="ListBullet"/>
      </w:pPr>
      <w:r>
        <w:t>The process integrates with Ticketing Platform and depends on Redis for telemetry signals.</w:t>
      </w:r>
    </w:p>
    <w:p>
      <w:pPr>
        <w:pStyle w:val="ListBullet"/>
      </w:pPr>
      <w:r>
        <w:t>We prioritize customer impact, data integrity, and regulatory alignment.</w:t>
      </w:r>
    </w:p>
    <w:p>
      <w:pPr>
        <w:pStyle w:val="ListBullet"/>
      </w:pPr>
      <w:r>
        <w:t>We prioritize customer impact, data integrity, and regulatory alignment.</w:t>
      </w:r>
    </w:p>
    <w:p>
      <w:pPr>
        <w:pStyle w:val="ListBullet"/>
      </w:pPr>
      <w:r>
        <w:t>All changes require peer review and validation in the Ticketing Platform before production promotion.</w:t>
      </w:r>
    </w:p>
    <w:p>
      <w:pPr>
        <w:pStyle w:val="ListBullet"/>
      </w:pPr>
      <w:r>
        <w:t>Audit sampling occurs monthly and is summarized in leadership dashboards.</w:t>
      </w:r>
    </w:p>
    <w:p>
      <w:pPr>
        <w:pStyle w:val="ListBullet"/>
      </w:pPr>
      <w:r>
        <w:t>Risk acceptance must be documented and revalidated each quarter.</w:t>
      </w:r>
    </w:p>
    <w:p>
      <w:pPr>
        <w:pStyle w:val="Heading1"/>
      </w:pPr>
      <w:r>
        <w:t>Audit Requirements</w:t>
      </w:r>
    </w:p>
    <w:p>
      <w:r>
        <w:t>Audit sampling occurs monthly and is summarized in leadership dashboards. The Data Platform organization uses Redis to enforce consistent service baselines.</w:t>
      </w:r>
    </w:p>
    <w:p>
      <w:r>
        <w:t>All changes require peer review and validation in the Ticketing Platform before production promotion. All incidents are tagged with severity and mapped to service tiers. Regional teams in APAC follow the same policy with localized legal review. This document aligns with SOC 2 requirements and supports APAC data residency expectations.</w:t>
      </w:r>
    </w:p>
    <w:p>
      <w:pPr>
        <w:pStyle w:val="ListBullet"/>
      </w:pPr>
      <w:r>
        <w:t>The Data Platform organization uses Redis to enforce consistent service baselines.</w:t>
      </w:r>
    </w:p>
    <w:p>
      <w:pPr>
        <w:pStyle w:val="ListBullet"/>
      </w:pPr>
      <w:r>
        <w:t>Teams must log requests in GitHub Enterprise and track outcomes in Ticketing Platform for audit readiness.</w:t>
      </w:r>
    </w:p>
    <w:p>
      <w:pPr>
        <w:pStyle w:val="ListBullet"/>
      </w:pPr>
      <w:r>
        <w:t>Systems are monitored via Redis and alert routing in GitHub Enterprise.</w:t>
      </w:r>
    </w:p>
    <w:p>
      <w:pPr>
        <w:pStyle w:val="ListBullet"/>
      </w:pPr>
      <w:r>
        <w:t>Stakeholders include the SRE, service owner, and compliance lead for approvals.</w:t>
      </w:r>
    </w:p>
    <w:p>
      <w:pPr>
        <w:pStyle w:val="ListBullet"/>
      </w:pPr>
      <w:r>
        <w:t>All changes require peer review and validation in the Ticketing Platform before production promotion.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