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Data Platform US v1.0</w:t>
      </w:r>
    </w:p>
    <w:p>
      <w:r>
        <w:t>Department: Data Platform</w:t>
      </w:r>
    </w:p>
    <w:p>
      <w:r>
        <w:t>Author: Alex Nguyen</w:t>
      </w:r>
    </w:p>
    <w:p>
      <w:r>
        <w:t>Created date: 2025-04-01</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Teams must log requests in Microsoft 365 and track outcomes in Log Aggregation Cluster for audit readiness. Stakeholders include the SRE, service owner, and compliance lead for approvals. This document aligns with ISO 27001 requirements and supports US data residency expectations.</w:t>
      </w:r>
    </w:p>
    <w:p>
      <w:r>
        <w:t>We prioritize customer impact, data integrity, and regulatory alignment. We prioritize customer impact, data integrity, and regulatory alignment. Teams must log requests in Microsoft 365 and track outcomes in Log Aggregation Cluster for audit readiness. The Data Platform organization uses Okta to enforce consistent service baselines.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Data Platform</w:t>
            </w:r>
          </w:p>
        </w:tc>
        <w:tc>
          <w:tcPr>
            <w:tcW w:type="dxa" w:w="2880"/>
          </w:tcPr>
          <w:p>
            <w:r>
              <w:t>In Progress</w:t>
            </w:r>
          </w:p>
        </w:tc>
      </w:tr>
      <w:tr>
        <w:tc>
          <w:tcPr>
            <w:tcW w:type="dxa" w:w="2880"/>
          </w:tcPr>
          <w:p>
            <w:r>
              <w:t>Backup validation</w:t>
            </w:r>
          </w:p>
        </w:tc>
        <w:tc>
          <w:tcPr>
            <w:tcW w:type="dxa" w:w="2880"/>
          </w:tcPr>
          <w:p>
            <w:r>
              <w:t>Data Platform</w:t>
            </w:r>
          </w:p>
        </w:tc>
        <w:tc>
          <w:tcPr>
            <w:tcW w:type="dxa" w:w="2880"/>
          </w:tcPr>
          <w:p>
            <w:r>
              <w:t>In Progress</w:t>
            </w:r>
          </w:p>
        </w:tc>
      </w:tr>
      <w:tr>
        <w:tc>
          <w:tcPr>
            <w:tcW w:type="dxa" w:w="2880"/>
          </w:tcPr>
          <w:p>
            <w:r>
              <w:t>Access review</w:t>
            </w:r>
          </w:p>
        </w:tc>
        <w:tc>
          <w:tcPr>
            <w:tcW w:type="dxa" w:w="2880"/>
          </w:tcPr>
          <w:p>
            <w:r>
              <w:t>Operations</w:t>
            </w:r>
          </w:p>
        </w:tc>
        <w:tc>
          <w:tcPr>
            <w:tcW w:type="dxa" w:w="2880"/>
          </w:tcPr>
          <w:p>
            <w:r>
              <w:t>Planned</w:t>
            </w:r>
          </w:p>
        </w:tc>
      </w:tr>
      <w:tr>
        <w:tc>
          <w:tcPr>
            <w:tcW w:type="dxa" w:w="2880"/>
          </w:tcPr>
          <w:p>
            <w:r>
              <w:t>Access review</w:t>
            </w:r>
          </w:p>
        </w:tc>
        <w:tc>
          <w:tcPr>
            <w:tcW w:type="dxa" w:w="2880"/>
          </w:tcPr>
          <w:p>
            <w:r>
              <w:t>SRE</w:t>
            </w:r>
          </w:p>
        </w:tc>
        <w:tc>
          <w:tcPr>
            <w:tcW w:type="dxa" w:w="2880"/>
          </w:tcPr>
          <w:p>
            <w:r>
              <w:t>In Progress</w:t>
            </w:r>
          </w:p>
        </w:tc>
      </w:tr>
    </w:tbl>
    <w:p>
      <w:pPr>
        <w:pStyle w:val="Heading1"/>
      </w:pPr>
      <w:r>
        <w:t>Access Control</w:t>
      </w:r>
    </w:p>
    <w:p>
      <w:r>
        <w:t>We prioritize customer impact, data integrity, and regulatory alignment. This document aligns with ISO 27001 requirements and supports US data residency expectations.</w:t>
      </w:r>
    </w:p>
    <w:p>
      <w:r>
        <w:t>Stakeholders include the SRE, service owner, and compliance lead for approvals. We prioritize customer impact, data integrity, and regulatory alignment. Escalations should follow the on-call rotation with a response target of 45 minutes.</w:t>
      </w:r>
    </w:p>
    <w:p>
      <w:pPr>
        <w:pStyle w:val="ListBullet"/>
      </w:pPr>
      <w:r>
        <w:t>Regional teams in US follow the same policy with localized legal review.</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Regional teams in US follow the same policy with localized legal review.</w:t>
      </w:r>
    </w:p>
    <w:p>
      <w:pPr>
        <w:pStyle w:val="ListBullet"/>
      </w:pPr>
      <w:r>
        <w:t>Stakeholders include the SRE,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Data Platform</w:t>
            </w:r>
          </w:p>
        </w:tc>
        <w:tc>
          <w:tcPr>
            <w:tcW w:type="dxa" w:w="2880"/>
          </w:tcPr>
          <w:p>
            <w:r>
              <w:t>Complete</w:t>
            </w:r>
          </w:p>
        </w:tc>
      </w:tr>
      <w:tr>
        <w:tc>
          <w:tcPr>
            <w:tcW w:type="dxa" w:w="2880"/>
          </w:tcPr>
          <w:p>
            <w:r>
              <w:t>Patch window</w:t>
            </w:r>
          </w:p>
        </w:tc>
        <w:tc>
          <w:tcPr>
            <w:tcW w:type="dxa" w:w="2880"/>
          </w:tcPr>
          <w:p>
            <w:r>
              <w:t>Data Platform</w:t>
            </w:r>
          </w:p>
        </w:tc>
        <w:tc>
          <w:tcPr>
            <w:tcW w:type="dxa" w:w="2880"/>
          </w:tcPr>
          <w:p>
            <w:r>
              <w:t>Complete</w:t>
            </w:r>
          </w:p>
        </w:tc>
      </w:tr>
      <w:tr>
        <w:tc>
          <w:tcPr>
            <w:tcW w:type="dxa" w:w="2880"/>
          </w:tcPr>
          <w:p>
            <w:r>
              <w:t>Vendor check</w:t>
            </w:r>
          </w:p>
        </w:tc>
        <w:tc>
          <w:tcPr>
            <w:tcW w:type="dxa" w:w="2880"/>
          </w:tcPr>
          <w:p>
            <w:r>
              <w:t>Security</w:t>
            </w:r>
          </w:p>
        </w:tc>
        <w:tc>
          <w:tcPr>
            <w:tcW w:type="dxa" w:w="2880"/>
          </w:tcPr>
          <w:p>
            <w:r>
              <w:t>Blocked</w:t>
            </w:r>
          </w:p>
        </w:tc>
      </w:tr>
      <w:tr>
        <w:tc>
          <w:tcPr>
            <w:tcW w:type="dxa" w:w="2880"/>
          </w:tcPr>
          <w:p>
            <w:r>
              <w:t>Patch window</w:t>
            </w:r>
          </w:p>
        </w:tc>
        <w:tc>
          <w:tcPr>
            <w:tcW w:type="dxa" w:w="2880"/>
          </w:tcPr>
          <w:p>
            <w:r>
              <w:t>Data Platform</w:t>
            </w:r>
          </w:p>
        </w:tc>
        <w:tc>
          <w:tcPr>
            <w:tcW w:type="dxa" w:w="2880"/>
          </w:tcPr>
          <w:p>
            <w:r>
              <w:t>Blocked</w:t>
            </w:r>
          </w:p>
        </w:tc>
      </w:tr>
    </w:tbl>
    <w:p>
      <w:pPr>
        <w:pStyle w:val="Heading1"/>
      </w:pPr>
      <w:r>
        <w:t>Monitoring</w:t>
      </w:r>
    </w:p>
    <w:p>
      <w:r>
        <w:t>Systems are monitored via Okta and alert routing in Microsoft 365. Stakeholders include the SRE, service owner, and compliance lead for approvals. The Data Platform team coordinates with SRE to maintain operational readiness. Regional teams in US follow the same policy with localized legal review.</w:t>
      </w:r>
    </w:p>
    <w:p>
      <w:r>
        <w:t>Escalations should follow the on-call rotation with a response target of 45 minutes. Audit sampling occurs monthly and is summarized in leadership dashboards. The process integrates with Log Aggregation Cluster and depends on Okta for telemetry signals. The process integrates with Log Aggregation Cluster and depends on Okta for telemetry signals.</w:t>
      </w:r>
    </w:p>
    <w:p>
      <w:pPr>
        <w:pStyle w:val="ListBullet"/>
      </w:pPr>
      <w:r>
        <w:t>Escalations should follow the on-call rotation with a response target of 45 minutes.</w:t>
      </w:r>
    </w:p>
    <w:p>
      <w:pPr>
        <w:pStyle w:val="ListBullet"/>
      </w:pPr>
      <w:r>
        <w:t>All incidents are tagged with severity and mapped to service tiers.</w:t>
      </w:r>
    </w:p>
    <w:p>
      <w:pPr>
        <w:pStyle w:val="ListBullet"/>
      </w:pPr>
      <w:r>
        <w:t>Evidence artifacts are retained in Microsoft 365 for at least 18 months.</w:t>
      </w:r>
    </w:p>
    <w:p>
      <w:pPr>
        <w:pStyle w:val="ListBullet"/>
      </w:pPr>
      <w:r>
        <w:t>Risk acceptance must be documented and revalidated each quarter.</w:t>
      </w:r>
    </w:p>
    <w:p>
      <w:pPr>
        <w:pStyle w:val="ListBullet"/>
      </w:pPr>
      <w:r>
        <w:t>The Data Platform organization uses Okta to enforce consistent service baselines.</w:t>
      </w:r>
    </w:p>
    <w:p>
      <w:pPr>
        <w:pStyle w:val="ListBullet"/>
      </w:pPr>
      <w:r>
        <w:t>Risk acceptance must be documented and revalidated each quarter.</w:t>
      </w:r>
    </w:p>
    <w:p>
      <w:pPr>
        <w:pStyle w:val="Heading1"/>
      </w:pPr>
      <w:r>
        <w:t>Incident Response</w:t>
      </w:r>
    </w:p>
    <w:p>
      <w:r>
        <w:t>Risk acceptance must be documented and revalidated each quarter. This document aligns with ISO 27001 requirements and supports US data residency expectations. Stakeholders include the SRE, service owner, and compliance lead for approvals.</w:t>
      </w:r>
    </w:p>
    <w:p>
      <w:pPr>
        <w:pStyle w:val="ListBullet"/>
      </w:pPr>
      <w:r>
        <w:t>We prioritize customer impact, data integrity, and regulatory alignment.</w:t>
      </w:r>
    </w:p>
    <w:p>
      <w:pPr>
        <w:pStyle w:val="ListBullet"/>
      </w:pPr>
      <w:r>
        <w:t>Regional teams in US follow the same policy with localized legal review.</w:t>
      </w:r>
    </w:p>
    <w:p>
      <w:pPr>
        <w:pStyle w:val="ListBullet"/>
      </w:pPr>
      <w:r>
        <w:t>All changes require peer review and validation in the Log Aggregation Cluster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Complete</w:t>
            </w:r>
          </w:p>
        </w:tc>
      </w:tr>
      <w:tr>
        <w:tc>
          <w:tcPr>
            <w:tcW w:type="dxa" w:w="2880"/>
          </w:tcPr>
          <w:p>
            <w:r>
              <w:t>Backup validation</w:t>
            </w:r>
          </w:p>
        </w:tc>
        <w:tc>
          <w:tcPr>
            <w:tcW w:type="dxa" w:w="2880"/>
          </w:tcPr>
          <w:p>
            <w:r>
              <w:t>SRE</w:t>
            </w:r>
          </w:p>
        </w:tc>
        <w:tc>
          <w:tcPr>
            <w:tcW w:type="dxa" w:w="2880"/>
          </w:tcPr>
          <w:p>
            <w:r>
              <w:t>Complete</w:t>
            </w:r>
          </w:p>
        </w:tc>
      </w:tr>
      <w:tr>
        <w:tc>
          <w:tcPr>
            <w:tcW w:type="dxa" w:w="2880"/>
          </w:tcPr>
          <w:p>
            <w:r>
              <w:t>Access review</w:t>
            </w:r>
          </w:p>
        </w:tc>
        <w:tc>
          <w:tcPr>
            <w:tcW w:type="dxa" w:w="2880"/>
          </w:tcPr>
          <w:p>
            <w:r>
              <w:t>Security</w:t>
            </w:r>
          </w:p>
        </w:tc>
        <w:tc>
          <w:tcPr>
            <w:tcW w:type="dxa" w:w="2880"/>
          </w:tcPr>
          <w:p>
            <w:r>
              <w:t>Planned</w:t>
            </w:r>
          </w:p>
        </w:tc>
      </w:tr>
    </w:tbl>
    <w:p>
      <w:pPr>
        <w:pStyle w:val="Heading1"/>
      </w:pPr>
      <w:r>
        <w:t>Audit Requirements</w:t>
      </w:r>
    </w:p>
    <w:p>
      <w:r>
        <w:t>The process integrates with Log Aggregation Cluster and depends on Okta for telemetry signals. Escalations should follow the on-call rotation with a response target of 45 minutes.</w:t>
      </w:r>
    </w:p>
    <w:p>
      <w:r>
        <w:t>Regional teams in US follow the same policy with localized legal review. All changes require peer review and validation in the Log Aggregation Cluster before production promotion.</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The process integrates with Log Aggregation Cluster and depends on Okta for telemetry signals.</w:t>
      </w:r>
    </w:p>
    <w:p>
      <w:pPr>
        <w:pStyle w:val="ListBullet"/>
      </w:pPr>
      <w:r>
        <w:t>Escalations should follow the on-call rotation with a response target of 45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