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Engineering APAC v3.0</w:t>
      </w:r>
    </w:p>
    <w:p>
      <w:r>
        <w:t>Department: Engineering</w:t>
      </w:r>
    </w:p>
    <w:p>
      <w:r>
        <w:t>Author: Jordan Kim</w:t>
      </w:r>
    </w:p>
    <w:p>
      <w:r>
        <w:t>Created date: 2025-09-03</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Audit sampling occurs monthly and is summarized in leadership dashboards. Escalations should follow the on-call rotation with a response target of 60 minutes.</w:t>
      </w:r>
    </w:p>
    <w:p>
      <w:r>
        <w:t>The process integrates with Document Repository and depends on PostgreSQL for telemetry signals. The Engineering organization uses PostgreSQL to enforce consistent service baselines. The Engineering organization uses PostgreSQL to enforce consistent service baselines.</w:t>
      </w:r>
    </w:p>
    <w:p>
      <w:pPr>
        <w:pStyle w:val="ListBullet"/>
      </w:pPr>
      <w:r>
        <w:t>We prioritize customer impact, data integrity, and regulatory alignment.</w:t>
      </w:r>
    </w:p>
    <w:p>
      <w:pPr>
        <w:pStyle w:val="ListBullet"/>
      </w:pPr>
      <w:r>
        <w:t>The Engineering team coordinates with Systems Engineer to maintain operational readiness.</w:t>
      </w:r>
    </w:p>
    <w:p>
      <w:pPr>
        <w:pStyle w:val="ListBullet"/>
      </w:pPr>
      <w:r>
        <w:t>This document aligns with PCI DSS requirements and supports APAC data residency expectations.</w:t>
      </w:r>
    </w:p>
    <w:p>
      <w:pPr>
        <w:pStyle w:val="ListBullet"/>
      </w:pPr>
      <w:r>
        <w:t>Evidence artifacts are retained in Zoom for at least 36 months.</w:t>
      </w:r>
    </w:p>
    <w:p>
      <w:pPr>
        <w:pStyle w:val="ListBullet"/>
      </w:pPr>
      <w:r>
        <w:t>The process integrates with Document Repository and depends on PostgreSQL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Engineering</w:t>
            </w:r>
          </w:p>
        </w:tc>
        <w:tc>
          <w:tcPr>
            <w:tcW w:type="dxa" w:w="2880"/>
          </w:tcPr>
          <w:p>
            <w:r>
              <w:t>Blocked</w:t>
            </w:r>
          </w:p>
        </w:tc>
      </w:tr>
      <w:tr>
        <w:tc>
          <w:tcPr>
            <w:tcW w:type="dxa" w:w="2880"/>
          </w:tcPr>
          <w:p>
            <w:r>
              <w:t>Incident drill</w:t>
            </w:r>
          </w:p>
        </w:tc>
        <w:tc>
          <w:tcPr>
            <w:tcW w:type="dxa" w:w="2880"/>
          </w:tcPr>
          <w:p>
            <w:r>
              <w:t>Engineering</w:t>
            </w:r>
          </w:p>
        </w:tc>
        <w:tc>
          <w:tcPr>
            <w:tcW w:type="dxa" w:w="2880"/>
          </w:tcPr>
          <w:p>
            <w:r>
              <w:t>In Progress</w:t>
            </w:r>
          </w:p>
        </w:tc>
      </w:tr>
      <w:tr>
        <w:tc>
          <w:tcPr>
            <w:tcW w:type="dxa" w:w="2880"/>
          </w:tcPr>
          <w:p>
            <w:r>
              <w:t>Access review</w:t>
            </w:r>
          </w:p>
        </w:tc>
        <w:tc>
          <w:tcPr>
            <w:tcW w:type="dxa" w:w="2880"/>
          </w:tcPr>
          <w:p>
            <w:r>
              <w:t>Security</w:t>
            </w:r>
          </w:p>
        </w:tc>
        <w:tc>
          <w:tcPr>
            <w:tcW w:type="dxa" w:w="2880"/>
          </w:tcPr>
          <w:p>
            <w:r>
              <w:t>Blocked</w:t>
            </w:r>
          </w:p>
        </w:tc>
      </w:tr>
    </w:tbl>
    <w:p>
      <w:pPr>
        <w:pStyle w:val="Heading1"/>
      </w:pPr>
      <w:r>
        <w:t>Access Control</w:t>
      </w:r>
    </w:p>
    <w:p>
      <w:r>
        <w:t>All changes require peer review and validation in the Document Repository before production promotion. All incidents are tagged with severity and mapped to service tiers. Evidence artifacts are retained in Zoom for at least 36 months. Regional teams in APAC follow the same policy with localized legal review.</w:t>
      </w:r>
    </w:p>
    <w:p>
      <w:r>
        <w:t>The Engineering team coordinates with Systems Engineer to maintain operational readiness. Systems are monitored via PostgreSQL and alert routing in Zoom. Evidence artifacts are retained in Zoom for at least 36 months.</w:t>
      </w:r>
    </w:p>
    <w:p>
      <w:pPr>
        <w:pStyle w:val="ListBullet"/>
      </w:pPr>
      <w:r>
        <w:t>The Engineering team coordinates with Systems Engineer to maintain operational readiness.</w:t>
      </w:r>
    </w:p>
    <w:p>
      <w:pPr>
        <w:pStyle w:val="ListBullet"/>
      </w:pPr>
      <w:r>
        <w:t>All incidents are tagged with severity and mapped to service tiers.</w:t>
      </w:r>
    </w:p>
    <w:p>
      <w:pPr>
        <w:pStyle w:val="ListBullet"/>
      </w:pPr>
      <w:r>
        <w:t>The process integrates with Document Repository and depends on PostgreSQL for telemetry signals.</w:t>
      </w:r>
    </w:p>
    <w:p>
      <w:pPr>
        <w:pStyle w:val="Heading1"/>
      </w:pPr>
      <w:r>
        <w:t>Monitoring</w:t>
      </w:r>
    </w:p>
    <w:p>
      <w:r>
        <w:t>Regional teams in APAC follow the same policy with localized legal review. Risk acceptance must be documented and revalidated each quarter. Stakeholders include the Systems Engineer, service owner, and compliance lead for approvals. The Engineering organization uses PostgreSQL to enforce consistent service baselines.</w:t>
      </w:r>
    </w:p>
    <w:p>
      <w:r>
        <w:t>The process integrates with Document Repository and depends on PostgreSQL for telemetry signals. This document aligns with PCI DSS requirements and supports APAC data residency expectations. The Engineering team coordinates with Systems Engineer to maintain operational readiness.</w:t>
      </w:r>
    </w:p>
    <w:p>
      <w:pPr>
        <w:pStyle w:val="ListBullet"/>
      </w:pPr>
      <w:r>
        <w:t>This document aligns with PCI DSS requirements and supports APAC data residency expectations.</w:t>
      </w:r>
    </w:p>
    <w:p>
      <w:pPr>
        <w:pStyle w:val="ListBullet"/>
      </w:pPr>
      <w:r>
        <w:t>Risk acceptance must be documented and revalidated each quarter.</w:t>
      </w:r>
    </w:p>
    <w:p>
      <w:pPr>
        <w:pStyle w:val="ListBullet"/>
      </w:pPr>
      <w:r>
        <w:t>The process integrates with Document Repository and depends on PostgreSQL for telemetry signals.</w:t>
      </w:r>
    </w:p>
    <w:p>
      <w:pPr>
        <w:pStyle w:val="Heading1"/>
      </w:pPr>
      <w:r>
        <w:t>Incident Response</w:t>
      </w:r>
    </w:p>
    <w:p>
      <w:r>
        <w:t>Risk acceptance must be documented and revalidated each quarter. Teams must log requests in Zoom and track outcomes in Document Repository for audit readiness.</w:t>
      </w:r>
    </w:p>
    <w:p>
      <w:pPr>
        <w:pStyle w:val="ListBullet"/>
      </w:pPr>
      <w:r>
        <w:t>Teams must log requests in Zoom and track outcomes in Document Repository for audit readiness.</w:t>
      </w:r>
    </w:p>
    <w:p>
      <w:pPr>
        <w:pStyle w:val="ListBullet"/>
      </w:pPr>
      <w:r>
        <w:t>The Engineering team coordinates with Systems Engineer to maintain operational readiness.</w:t>
      </w:r>
    </w:p>
    <w:p>
      <w:pPr>
        <w:pStyle w:val="ListBullet"/>
      </w:pPr>
      <w:r>
        <w:t>Regional teams in APAC follow the same policy with localized legal review.</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Access review</w:t>
            </w:r>
          </w:p>
        </w:tc>
        <w:tc>
          <w:tcPr>
            <w:tcW w:type="dxa" w:w="2880"/>
          </w:tcPr>
          <w:p>
            <w:r>
              <w:t>Systems Engineer</w:t>
            </w:r>
          </w:p>
        </w:tc>
        <w:tc>
          <w:tcPr>
            <w:tcW w:type="dxa" w:w="2880"/>
          </w:tcPr>
          <w:p>
            <w:r>
              <w:t>Blocked</w:t>
            </w:r>
          </w:p>
        </w:tc>
      </w:tr>
    </w:tbl>
    <w:p>
      <w:pPr>
        <w:pStyle w:val="Heading1"/>
      </w:pPr>
      <w:r>
        <w:t>Audit Requirements</w:t>
      </w:r>
    </w:p>
    <w:p>
      <w:r>
        <w:t>We prioritize customer impact, data integrity, and regulatory alignment. Systems are monitored via PostgreSQL and alert routing in Zoom. Evidence artifacts are retained in Zoom for at least 36 months.</w:t>
      </w:r>
    </w:p>
    <w:p>
      <w:r>
        <w:t>The process integrates with Document Repository and depends on PostgreSQL for telemetry signals. The Engineering team coordinates with Systems Engineer to maintain operational readiness. Evidence artifacts are retained in Zoom for at least 36 months. Audit sampling occurs monthly and is summarized in leadership dashboards.</w:t>
      </w:r>
    </w:p>
    <w:p>
      <w:pPr>
        <w:pStyle w:val="ListBullet"/>
      </w:pPr>
      <w:r>
        <w:t>All changes require peer review and validation in the Document Repository before production promotion.</w:t>
      </w:r>
    </w:p>
    <w:p>
      <w:pPr>
        <w:pStyle w:val="ListBullet"/>
      </w:pPr>
      <w:r>
        <w:t>All changes require peer review and validation in the Document Repository before production promotion.</w:t>
      </w:r>
    </w:p>
    <w:p>
      <w:pPr>
        <w:pStyle w:val="ListBullet"/>
      </w:pPr>
      <w:r>
        <w:t>Risk acceptance must be documented and revalidated each quarter.</w:t>
      </w:r>
    </w:p>
    <w:p>
      <w:pPr>
        <w:pStyle w:val="ListBullet"/>
      </w:pPr>
      <w:r>
        <w:t>Evidence artifacts are retained in Zoom for at least 36 months.</w:t>
      </w:r>
    </w:p>
    <w:p>
      <w:pPr>
        <w:pStyle w:val="ListBullet"/>
      </w:pPr>
      <w:r>
        <w:t>This document aligns with PCI DSS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Systems Engineer</w:t>
            </w:r>
          </w:p>
        </w:tc>
        <w:tc>
          <w:tcPr>
            <w:tcW w:type="dxa" w:w="2880"/>
          </w:tcPr>
          <w:p>
            <w:r>
              <w:t>Blocked</w:t>
            </w:r>
          </w:p>
        </w:tc>
      </w:tr>
      <w:tr>
        <w:tc>
          <w:tcPr>
            <w:tcW w:type="dxa" w:w="2880"/>
          </w:tcPr>
          <w:p>
            <w:r>
              <w:t>Patch window</w:t>
            </w:r>
          </w:p>
        </w:tc>
        <w:tc>
          <w:tcPr>
            <w:tcW w:type="dxa" w:w="2880"/>
          </w:tcPr>
          <w:p>
            <w:r>
              <w:t>Engineering</w:t>
            </w:r>
          </w:p>
        </w:tc>
        <w:tc>
          <w:tcPr>
            <w:tcW w:type="dxa" w:w="2880"/>
          </w:tcPr>
          <w:p>
            <w:r>
              <w:t>Blocked</w:t>
            </w:r>
          </w:p>
        </w:tc>
      </w:tr>
      <w:tr>
        <w:tc>
          <w:tcPr>
            <w:tcW w:type="dxa" w:w="2880"/>
          </w:tcPr>
          <w:p>
            <w:r>
              <w:t>Patch window</w:t>
            </w:r>
          </w:p>
        </w:tc>
        <w:tc>
          <w:tcPr>
            <w:tcW w:type="dxa" w:w="2880"/>
          </w:tcPr>
          <w:p>
            <w:r>
              <w:t>Engineering</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