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Security - Engineering APAC v2.1</w:t>
      </w:r>
    </w:p>
    <w:p>
      <w:r>
        <w:t>Department: Engineering</w:t>
      </w:r>
    </w:p>
    <w:p>
      <w:r>
        <w:t>Author: Alex Smith</w:t>
      </w:r>
    </w:p>
    <w:p>
      <w:r>
        <w:t>Created date: 2026-04-03</w:t>
      </w:r>
    </w:p>
    <w:p>
      <w:r>
        <w:t>Region: APAC</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Overview</w:t>
      </w:r>
    </w:p>
    <w:p>
      <w:r>
        <w:t>Risk acceptance must be documented and revalidated each quarter. Regional teams in APAC follow the same policy with localized legal review.</w:t>
      </w:r>
    </w:p>
    <w:p>
      <w:r>
        <w:t>Stakeholders include the Support Specialist, service owner, and compliance lead for approvals. This document aligns with PCI DSS requirements and supports APAC data residency expectations.</w:t>
      </w:r>
    </w:p>
    <w:p>
      <w:pPr>
        <w:pStyle w:val="ListBullet"/>
      </w:pPr>
      <w:r>
        <w:t>We prioritize customer impact, data integrity, and regulatory alignment.</w:t>
      </w:r>
    </w:p>
    <w:p>
      <w:pPr>
        <w:pStyle w:val="ListBullet"/>
      </w:pPr>
      <w:r>
        <w:t>Regional teams in APAC follow the same policy with localized legal review.</w:t>
      </w:r>
    </w:p>
    <w:p>
      <w:pPr>
        <w:pStyle w:val="ListBullet"/>
      </w:pPr>
      <w:r>
        <w:t>Risk acceptance must be documented and revalidated each quarter.</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Engineering</w:t>
            </w:r>
          </w:p>
        </w:tc>
        <w:tc>
          <w:tcPr>
            <w:tcW w:type="dxa" w:w="2880"/>
          </w:tcPr>
          <w:p>
            <w:r>
              <w:t>Blocked</w:t>
            </w:r>
          </w:p>
        </w:tc>
      </w:tr>
      <w:tr>
        <w:tc>
          <w:tcPr>
            <w:tcW w:type="dxa" w:w="2880"/>
          </w:tcPr>
          <w:p>
            <w:r>
              <w:t>Vendor check</w:t>
            </w:r>
          </w:p>
        </w:tc>
        <w:tc>
          <w:tcPr>
            <w:tcW w:type="dxa" w:w="2880"/>
          </w:tcPr>
          <w:p>
            <w:r>
              <w:t>Security</w:t>
            </w:r>
          </w:p>
        </w:tc>
        <w:tc>
          <w:tcPr>
            <w:tcW w:type="dxa" w:w="2880"/>
          </w:tcPr>
          <w:p>
            <w:r>
              <w:t>Planned</w:t>
            </w:r>
          </w:p>
        </w:tc>
      </w:tr>
      <w:tr>
        <w:tc>
          <w:tcPr>
            <w:tcW w:type="dxa" w:w="2880"/>
          </w:tcPr>
          <w:p>
            <w:r>
              <w:t>Incident drill</w:t>
            </w:r>
          </w:p>
        </w:tc>
        <w:tc>
          <w:tcPr>
            <w:tcW w:type="dxa" w:w="2880"/>
          </w:tcPr>
          <w:p>
            <w:r>
              <w:t>Support Specialist</w:t>
            </w:r>
          </w:p>
        </w:tc>
        <w:tc>
          <w:tcPr>
            <w:tcW w:type="dxa" w:w="2880"/>
          </w:tcPr>
          <w:p>
            <w:r>
              <w:t>Blocked</w:t>
            </w:r>
          </w:p>
        </w:tc>
      </w:tr>
      <w:tr>
        <w:tc>
          <w:tcPr>
            <w:tcW w:type="dxa" w:w="2880"/>
          </w:tcPr>
          <w:p>
            <w:r>
              <w:t>Backup validation</w:t>
            </w:r>
          </w:p>
        </w:tc>
        <w:tc>
          <w:tcPr>
            <w:tcW w:type="dxa" w:w="2880"/>
          </w:tcPr>
          <w:p>
            <w:r>
              <w:t>Engineering</w:t>
            </w:r>
          </w:p>
        </w:tc>
        <w:tc>
          <w:tcPr>
            <w:tcW w:type="dxa" w:w="2880"/>
          </w:tcPr>
          <w:p>
            <w:r>
              <w:t>In Progress</w:t>
            </w:r>
          </w:p>
        </w:tc>
      </w:tr>
    </w:tbl>
    <w:p>
      <w:pPr>
        <w:pStyle w:val="Heading1"/>
      </w:pPr>
      <w:r>
        <w:t>Access Control</w:t>
      </w:r>
    </w:p>
    <w:p>
      <w:r>
        <w:t>Teams must log requests in Slack and track outcomes in CI/CD Pipeline for audit readiness. We prioritize customer impact, data integrity, and regulatory alignment.</w:t>
      </w:r>
    </w:p>
    <w:p>
      <w:r>
        <w:t>Evidence artifacts are retained in Slack for at least 36 months. Systems are monitored via ServiceNow and alert routing in Slack.</w:t>
      </w:r>
    </w:p>
    <w:p>
      <w:pPr>
        <w:pStyle w:val="ListBullet"/>
      </w:pPr>
      <w:r>
        <w:t>Systems are monitored via ServiceNow and alert routing in Slack.</w:t>
      </w:r>
    </w:p>
    <w:p>
      <w:pPr>
        <w:pStyle w:val="ListBullet"/>
      </w:pPr>
      <w:r>
        <w:t>Audit sampling occurs monthly and is summarized in leadership dashboards.</w:t>
      </w:r>
    </w:p>
    <w:p>
      <w:pPr>
        <w:pStyle w:val="ListBullet"/>
      </w:pPr>
      <w:r>
        <w:t>The process integrates with CI/CD Pipeline and depends on ServiceNow for telemetry signals.</w:t>
      </w:r>
    </w:p>
    <w:p>
      <w:pPr>
        <w:pStyle w:val="ListBullet"/>
      </w:pPr>
      <w:r>
        <w:t>Regional teams in APAC follow the same policy with localized legal review.</w:t>
      </w:r>
    </w:p>
    <w:p>
      <w:pPr>
        <w:pStyle w:val="Heading1"/>
      </w:pPr>
      <w:r>
        <w:t>Monitoring</w:t>
      </w:r>
    </w:p>
    <w:p>
      <w:r>
        <w:t>All incidents are tagged with severity and mapped to service tiers. All incidents are tagged with severity and mapped to service tiers. All incidents are tagged with severity and mapped to service tiers. All incidents are tagged with severity and mapped to service tiers.</w:t>
      </w:r>
    </w:p>
    <w:p>
      <w:r>
        <w:t>We prioritize customer impact, data integrity, and regulatory alignment. The Engineering team coordinates with Support Specialist to maintain operational readiness. All incidents are tagged with severity and mapped to service tiers.</w:t>
      </w:r>
    </w:p>
    <w:p>
      <w:pPr>
        <w:pStyle w:val="ListBullet"/>
      </w:pPr>
      <w:r>
        <w:t>All incidents are tagged with severity and mapped to service tiers.</w:t>
      </w:r>
    </w:p>
    <w:p>
      <w:pPr>
        <w:pStyle w:val="ListBullet"/>
      </w:pPr>
      <w:r>
        <w:t>The process integrates with CI/CD Pipeline and depends on ServiceNow for telemetry signals.</w:t>
      </w:r>
    </w:p>
    <w:p>
      <w:pPr>
        <w:pStyle w:val="ListBullet"/>
      </w:pPr>
      <w:r>
        <w:t>All incidents are tagged with severity and mapped to service tiers.</w:t>
      </w:r>
    </w:p>
    <w:p>
      <w:pPr>
        <w:pStyle w:val="ListBullet"/>
      </w:pPr>
      <w:r>
        <w:t>All incidents are tagged with severity and mapped to service tiers.</w:t>
      </w:r>
    </w:p>
    <w:p>
      <w:pPr>
        <w:pStyle w:val="ListBullet"/>
      </w:pPr>
      <w:r>
        <w:t>Regional teams in APAC follow the same policy with localized legal review.</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Operations</w:t>
            </w:r>
          </w:p>
        </w:tc>
        <w:tc>
          <w:tcPr>
            <w:tcW w:type="dxa" w:w="2880"/>
          </w:tcPr>
          <w:p>
            <w:r>
              <w:t>In Progress</w:t>
            </w:r>
          </w:p>
        </w:tc>
      </w:tr>
      <w:tr>
        <w:tc>
          <w:tcPr>
            <w:tcW w:type="dxa" w:w="2880"/>
          </w:tcPr>
          <w:p>
            <w:r>
              <w:t>Access review</w:t>
            </w:r>
          </w:p>
        </w:tc>
        <w:tc>
          <w:tcPr>
            <w:tcW w:type="dxa" w:w="2880"/>
          </w:tcPr>
          <w:p>
            <w:r>
              <w:t>Operations</w:t>
            </w:r>
          </w:p>
        </w:tc>
        <w:tc>
          <w:tcPr>
            <w:tcW w:type="dxa" w:w="2880"/>
          </w:tcPr>
          <w:p>
            <w:r>
              <w:t>Complete</w:t>
            </w:r>
          </w:p>
        </w:tc>
      </w:tr>
      <w:tr>
        <w:tc>
          <w:tcPr>
            <w:tcW w:type="dxa" w:w="2880"/>
          </w:tcPr>
          <w:p>
            <w:r>
              <w:t>Backup validation</w:t>
            </w:r>
          </w:p>
        </w:tc>
        <w:tc>
          <w:tcPr>
            <w:tcW w:type="dxa" w:w="2880"/>
          </w:tcPr>
          <w:p>
            <w:r>
              <w:t>Operations</w:t>
            </w:r>
          </w:p>
        </w:tc>
        <w:tc>
          <w:tcPr>
            <w:tcW w:type="dxa" w:w="2880"/>
          </w:tcPr>
          <w:p>
            <w:r>
              <w:t>Planned</w:t>
            </w:r>
          </w:p>
        </w:tc>
      </w:tr>
    </w:tbl>
    <w:p>
      <w:pPr>
        <w:pStyle w:val="Heading1"/>
      </w:pPr>
      <w:r>
        <w:t>Incident Response</w:t>
      </w:r>
    </w:p>
    <w:p>
      <w:r>
        <w:t>Regional teams in APAC follow the same policy with localized legal review. This document aligns with PCI DSS requirements and supports APAC data residency expectations. Stakeholders include the Support Specialist, service owner, and compliance lead for approvals.</w:t>
      </w:r>
    </w:p>
    <w:p>
      <w:r>
        <w:t>Audit sampling occurs monthly and is summarized in leadership dashboards. All changes require peer review and validation in the CI/CD Pipeline before production promotion. This document aligns with PCI DSS requirements and supports APAC data residency expectations.</w:t>
      </w:r>
    </w:p>
    <w:p>
      <w:pPr>
        <w:pStyle w:val="ListBullet"/>
      </w:pPr>
      <w:r>
        <w:t>Systems are monitored via ServiceNow and alert routing in Slack.</w:t>
      </w:r>
    </w:p>
    <w:p>
      <w:pPr>
        <w:pStyle w:val="ListBullet"/>
      </w:pPr>
      <w:r>
        <w:t>The process integrates with CI/CD Pipeline and depends on ServiceNow for telemetry signals.</w:t>
      </w:r>
    </w:p>
    <w:p>
      <w:pPr>
        <w:pStyle w:val="ListBullet"/>
      </w:pPr>
      <w:r>
        <w:t>The process integrates with CI/CD Pipeline and depends on ServiceNow for telemetry signals.</w:t>
      </w:r>
    </w:p>
    <w:p>
      <w:pPr>
        <w:pStyle w:val="ListBullet"/>
      </w:pPr>
      <w:r>
        <w:t>The Engineering organization uses ServiceNow to enforce consistent service baselines.</w:t>
      </w:r>
    </w:p>
    <w:p>
      <w:pPr>
        <w:pStyle w:val="ListBullet"/>
      </w:pPr>
      <w:r>
        <w:t>Risk acceptance must be documented and revalidated each quarter.</w:t>
      </w:r>
    </w:p>
    <w:p>
      <w:pPr>
        <w:pStyle w:val="ListBullet"/>
      </w:pPr>
      <w:r>
        <w:t>Teams must log requests in Slack and track outcomes in CI/CD Pipeline for audit readiness.</w:t>
      </w:r>
    </w:p>
    <w:p>
      <w:pPr>
        <w:pStyle w:val="Heading1"/>
      </w:pPr>
      <w:r>
        <w:t>Audit Requirements</w:t>
      </w:r>
    </w:p>
    <w:p>
      <w:r>
        <w:t>The process integrates with CI/CD Pipeline and depends on ServiceNow for telemetry signals. Evidence artifacts are retained in Slack for at least 36 months.</w:t>
      </w:r>
    </w:p>
    <w:p>
      <w:r>
        <w:t>Systems are monitored via ServiceNow and alert routing in Slack. Risk acceptance must be documented and revalidated each quarter.</w:t>
      </w:r>
    </w:p>
    <w:p>
      <w:pPr>
        <w:pStyle w:val="ListBullet"/>
      </w:pPr>
      <w:r>
        <w:t>Stakeholders include the Support Specialist, service owner, and compliance lead for approvals.</w:t>
      </w:r>
    </w:p>
    <w:p>
      <w:pPr>
        <w:pStyle w:val="ListBullet"/>
      </w:pPr>
      <w:r>
        <w:t>Escalations should follow the on-call rotation with a response target of 60 minutes.</w:t>
      </w:r>
    </w:p>
    <w:p>
      <w:pPr>
        <w:pStyle w:val="ListBullet"/>
      </w:pPr>
      <w:r>
        <w:t>Teams must log requests in Slack and track outcomes in CI/CD Pipeline for audit readiness.</w:t>
      </w:r>
    </w:p>
    <w:p>
      <w:pPr>
        <w:pStyle w:val="ListBullet"/>
      </w:pPr>
      <w:r>
        <w:t>The Engineering organization uses ServiceNow to enforce consistent service baselines.</w:t>
      </w:r>
    </w:p>
    <w:p>
      <w:pPr>
        <w:pStyle w:val="ListBullet"/>
      </w:pPr>
      <w:r>
        <w:t>All incidents are tagged with severity and mapped to service tiers.</w:t>
      </w:r>
    </w:p>
    <w:p>
      <w:pPr>
        <w:pStyle w:val="ListBullet"/>
      </w:pPr>
      <w:r>
        <w:t>All incidents are tagged with severity and mapped to service tiers.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