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Information Technology US v3.0</w:t>
      </w:r>
    </w:p>
    <w:p>
      <w:r>
        <w:t>Department: Information Technology</w:t>
      </w:r>
    </w:p>
    <w:p>
      <w:r>
        <w:t>Author: Morgan Garcia</w:t>
      </w:r>
    </w:p>
    <w:p>
      <w:r>
        <w:t>Created date: 2024-08-23</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Escalations should follow the on-call rotation with a response target of 45 minutes. We prioritize customer impact, data integrity, and regulatory alignment.</w:t>
      </w:r>
    </w:p>
    <w:p>
      <w:pPr>
        <w:pStyle w:val="ListBullet"/>
      </w:pPr>
      <w:r>
        <w:t>Systems are monitored via Redis and alert routing in Salesforce.</w:t>
      </w:r>
    </w:p>
    <w:p>
      <w:pPr>
        <w:pStyle w:val="ListBullet"/>
      </w:pPr>
      <w:r>
        <w:t>Teams must log requests in Salesforce and track outcomes in CI/CD Pipeline for audit readiness.</w:t>
      </w:r>
    </w:p>
    <w:p>
      <w:pPr>
        <w:pStyle w:val="ListBullet"/>
      </w:pPr>
      <w:r>
        <w:t>Systems are monitored via Redis and alert routing in Salesforce.</w:t>
      </w:r>
    </w:p>
    <w:p>
      <w:pPr>
        <w:pStyle w:val="ListBullet"/>
      </w:pPr>
      <w:r>
        <w:t>Evidence artifacts are retained in Salesforce for at least 36 months.</w:t>
      </w:r>
    </w:p>
    <w:p>
      <w:pPr>
        <w:pStyle w:val="Heading1"/>
      </w:pPr>
      <w:r>
        <w:t>Access Control</w:t>
      </w:r>
    </w:p>
    <w:p>
      <w:r>
        <w:t>This document aligns with HIPAA requirements and supports US data residency expectations. Teams must log requests in Salesforce and track outcomes in CI/CD Pipeline for audit readiness. The Information Technology team coordinates with Platform Engineer to maintain operational readiness.</w:t>
      </w:r>
    </w:p>
    <w:p>
      <w:pPr>
        <w:pStyle w:val="ListBullet"/>
      </w:pPr>
      <w:r>
        <w:t>Stakeholders include the Platform Engineer, service owner, and compliance lead for approvals.</w:t>
      </w:r>
    </w:p>
    <w:p>
      <w:pPr>
        <w:pStyle w:val="ListBullet"/>
      </w:pPr>
      <w:r>
        <w:t>Systems are monitored via Redis and alert routing in Salesforce.</w:t>
      </w:r>
    </w:p>
    <w:p>
      <w:pPr>
        <w:pStyle w:val="ListBullet"/>
      </w:pPr>
      <w:r>
        <w:t>Risk acceptance must be documented and revalidated each quarter.</w:t>
      </w:r>
    </w:p>
    <w:p>
      <w:pPr>
        <w:pStyle w:val="Heading1"/>
      </w:pPr>
      <w:r>
        <w:t>Monitoring</w:t>
      </w:r>
    </w:p>
    <w:p>
      <w:r>
        <w:t>Evidence artifacts are retained in Salesforce for at least 36 months. Risk acceptance must be documented and revalidated each quarter.</w:t>
      </w:r>
    </w:p>
    <w:p>
      <w:r>
        <w:t>Teams must log requests in Salesforce and track outcomes in CI/CD Pipeline for audit readiness. This document aligns with HIPAA requirements and supports US data residency expectations. Systems are monitored via Redis and alert routing in Salesforce. Risk acceptance must be documented and revalidated each quarter.</w:t>
      </w:r>
    </w:p>
    <w:p>
      <w:pPr>
        <w:pStyle w:val="ListBullet"/>
      </w:pPr>
      <w:r>
        <w:t>The Information Technology organization uses Redis to enforce consistent service baselines.</w:t>
      </w:r>
    </w:p>
    <w:p>
      <w:pPr>
        <w:pStyle w:val="ListBullet"/>
      </w:pPr>
      <w:r>
        <w:t>The process integrates with CI/CD Pipeline and depends on Redis for telemetry signals.</w:t>
      </w:r>
    </w:p>
    <w:p>
      <w:pPr>
        <w:pStyle w:val="ListBullet"/>
      </w:pPr>
      <w:r>
        <w:t>The process integrates with CI/CD Pipeline and depends on Redis for telemetry signals.</w:t>
      </w:r>
    </w:p>
    <w:p>
      <w:pPr>
        <w:pStyle w:val="ListBullet"/>
      </w:pPr>
      <w:r>
        <w:t>All changes require peer review and validation in the CI/CD Pipeline before production promotion.</w:t>
      </w:r>
    </w:p>
    <w:p>
      <w:pPr>
        <w:pStyle w:val="Heading1"/>
      </w:pPr>
      <w:r>
        <w:t>Incident Response</w:t>
      </w:r>
    </w:p>
    <w:p>
      <w:r>
        <w:t>Escalations should follow the on-call rotation with a response target of 45 minutes. Escalations should follow the on-call rotation with a response target of 45 minutes.</w:t>
      </w:r>
    </w:p>
    <w:p>
      <w:pPr>
        <w:pStyle w:val="ListBullet"/>
      </w:pPr>
      <w:r>
        <w:t>All incidents are tagged with severity and mapped to service tiers.</w:t>
      </w:r>
    </w:p>
    <w:p>
      <w:pPr>
        <w:pStyle w:val="ListBullet"/>
      </w:pPr>
      <w:r>
        <w:t>Teams must log requests in Salesforce and track outcomes in CI/CD Pipeline for audit readiness.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Information Technology organization uses Redis to enforce consistent service baselines.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Blocked</w:t>
            </w:r>
          </w:p>
        </w:tc>
      </w:tr>
      <w:tr>
        <w:tc>
          <w:tcPr>
            <w:tcW w:type="dxa" w:w="2880"/>
          </w:tcPr>
          <w:p>
            <w:r>
              <w:t>Patch window</w:t>
            </w:r>
          </w:p>
        </w:tc>
        <w:tc>
          <w:tcPr>
            <w:tcW w:type="dxa" w:w="2880"/>
          </w:tcPr>
          <w:p>
            <w:r>
              <w:t>Information Technology</w:t>
            </w:r>
          </w:p>
        </w:tc>
        <w:tc>
          <w:tcPr>
            <w:tcW w:type="dxa" w:w="2880"/>
          </w:tcPr>
          <w:p>
            <w:r>
              <w:t>Blocked</w:t>
            </w:r>
          </w:p>
        </w:tc>
      </w:tr>
    </w:tbl>
    <w:p>
      <w:pPr>
        <w:pStyle w:val="Heading1"/>
      </w:pPr>
      <w:r>
        <w:t>Audit Requirements</w:t>
      </w:r>
    </w:p>
    <w:p>
      <w:r>
        <w:t>The Information Technology team coordinates with Platform Engineer to maintain operational readiness. Teams must log requests in Salesforce and track outcomes in CI/CD Pipeline for audit readiness. Regional teams in US follow the same policy with localized legal review.</w:t>
      </w:r>
    </w:p>
    <w:p>
      <w:r>
        <w:t>Escalations should follow the on-call rotation with a response target of 45 minutes. All changes require peer review and validation in the CI/CD Pipeline before production promotion. All incidents are tagged with severity and mapped to service tiers.</w:t>
      </w:r>
    </w:p>
    <w:p>
      <w:pPr>
        <w:pStyle w:val="ListBullet"/>
      </w:pPr>
      <w:r>
        <w:t>Audit sampling occurs monthly and is summarized in leadership dashboards.</w:t>
      </w:r>
    </w:p>
    <w:p>
      <w:pPr>
        <w:pStyle w:val="ListBullet"/>
      </w:pPr>
      <w:r>
        <w:t>The Information Technology team coordinates with Platform Engineer to maintain operational readiness.</w:t>
      </w:r>
    </w:p>
    <w:p>
      <w:pPr>
        <w:pStyle w:val="ListBullet"/>
      </w:pPr>
      <w:r>
        <w:t>Systems are monitored via Redis and alert routing in Salesforce.</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Systems are monitored via Redis and alert routing in Salesforce.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