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Operations APAC v1.1</w:t>
      </w:r>
    </w:p>
    <w:p>
      <w:r>
        <w:t>Department: Operations</w:t>
      </w:r>
    </w:p>
    <w:p>
      <w:r>
        <w:t>Author: Riley Lee</w:t>
      </w:r>
    </w:p>
    <w:p>
      <w:r>
        <w:t>Created date: 2024-06-02</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Risk acceptance must be documented and revalidated each quarter. All changes require peer review and validation in the Ticketing Platform before production promotion.</w:t>
      </w:r>
    </w:p>
    <w:p>
      <w:pPr>
        <w:pStyle w:val="ListBullet"/>
      </w:pPr>
      <w:r>
        <w:t>All incidents are tagged with severity and mapped to service tiers.</w:t>
      </w:r>
    </w:p>
    <w:p>
      <w:pPr>
        <w:pStyle w:val="ListBullet"/>
      </w:pPr>
      <w:r>
        <w:t>This document aligns with SOC 2 requirements and supports APAC data residency expectations.</w:t>
      </w:r>
    </w:p>
    <w:p>
      <w:pPr>
        <w:pStyle w:val="ListBullet"/>
      </w:pPr>
      <w:r>
        <w:t>All changes require peer review and validation in the Ticketing Platform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In Progress</w:t>
            </w:r>
          </w:p>
        </w:tc>
      </w:tr>
      <w:tr>
        <w:tc>
          <w:tcPr>
            <w:tcW w:type="dxa" w:w="2880"/>
          </w:tcPr>
          <w:p>
            <w:r>
              <w:t>Vendor check</w:t>
            </w:r>
          </w:p>
        </w:tc>
        <w:tc>
          <w:tcPr>
            <w:tcW w:type="dxa" w:w="2880"/>
          </w:tcPr>
          <w:p>
            <w:r>
              <w:t>Security</w:t>
            </w:r>
          </w:p>
        </w:tc>
        <w:tc>
          <w:tcPr>
            <w:tcW w:type="dxa" w:w="2880"/>
          </w:tcPr>
          <w:p>
            <w:r>
              <w:t>Planned</w:t>
            </w:r>
          </w:p>
        </w:tc>
      </w:tr>
      <w:tr>
        <w:tc>
          <w:tcPr>
            <w:tcW w:type="dxa" w:w="2880"/>
          </w:tcPr>
          <w:p>
            <w:r>
              <w:t>Backup validation</w:t>
            </w:r>
          </w:p>
        </w:tc>
        <w:tc>
          <w:tcPr>
            <w:tcW w:type="dxa" w:w="2880"/>
          </w:tcPr>
          <w:p>
            <w:r>
              <w:t>Operations</w:t>
            </w:r>
          </w:p>
        </w:tc>
        <w:tc>
          <w:tcPr>
            <w:tcW w:type="dxa" w:w="2880"/>
          </w:tcPr>
          <w:p>
            <w:r>
              <w:t>Blocked</w:t>
            </w:r>
          </w:p>
        </w:tc>
      </w:tr>
    </w:tbl>
    <w:p>
      <w:pPr>
        <w:pStyle w:val="Heading1"/>
      </w:pPr>
      <w:r>
        <w:t>Access Control</w:t>
      </w:r>
    </w:p>
    <w:p>
      <w:r>
        <w:t>Evidence artifacts are retained in Workday for at least 12 months. Teams must log requests in Workday and track outcomes in Ticketing Platform for audit readiness.</w:t>
      </w:r>
    </w:p>
    <w:p>
      <w:pPr>
        <w:pStyle w:val="ListBullet"/>
      </w:pPr>
      <w:r>
        <w:t>Teams must log requests in Workday and track outcomes in Ticketing Platform for audit readiness.</w:t>
      </w:r>
    </w:p>
    <w:p>
      <w:pPr>
        <w:pStyle w:val="ListBullet"/>
      </w:pPr>
      <w:r>
        <w:t>Escalations should follow the on-call rotation with a response target of 15 minutes.</w:t>
      </w:r>
    </w:p>
    <w:p>
      <w:pPr>
        <w:pStyle w:val="ListBullet"/>
      </w:pPr>
      <w:r>
        <w:t>Stakeholders include the Product Manager, service owner, and compliance lead for approvals.</w:t>
      </w:r>
    </w:p>
    <w:p>
      <w:pPr>
        <w:pStyle w:val="ListBullet"/>
      </w:pPr>
      <w:r>
        <w:t>All changes require peer review and validation in the Ticketing Platform before production promotion.</w:t>
      </w:r>
    </w:p>
    <w:p>
      <w:pPr>
        <w:pStyle w:val="ListBullet"/>
      </w:pPr>
      <w:r>
        <w:t>Systems are monitored via Vault and alert routing in Workday.</w:t>
      </w:r>
    </w:p>
    <w:p>
      <w:pPr>
        <w:pStyle w:val="Heading1"/>
      </w:pPr>
      <w:r>
        <w:t>Monitoring</w:t>
      </w:r>
    </w:p>
    <w:p>
      <w:r>
        <w:t>Teams must log requests in Workday and track outcomes in Ticketing Platform for audit readiness. The Operations organization uses Vault to enforce consistent service baselines. The Operations team coordinates with Product Manager to maintain operational readiness.</w:t>
      </w:r>
    </w:p>
    <w:p>
      <w:r>
        <w:t>The Operations team coordinates with Product Manager to maintain operational readiness. This document aligns with SOC 2 requirements and supports APAC data residency expectations. Stakeholders include the Product Manager, service owner, and compliance lead for approvals.</w:t>
      </w:r>
    </w:p>
    <w:p>
      <w:pPr>
        <w:pStyle w:val="ListBullet"/>
      </w:pPr>
      <w:r>
        <w:t>Teams must log requests in Workday and track outcomes in Ticketing Platform for audit readiness.</w:t>
      </w:r>
    </w:p>
    <w:p>
      <w:pPr>
        <w:pStyle w:val="ListBullet"/>
      </w:pPr>
      <w:r>
        <w:t>Systems are monitored via Vault and alert routing in Workday.</w:t>
      </w:r>
    </w:p>
    <w:p>
      <w:pPr>
        <w:pStyle w:val="ListBullet"/>
      </w:pPr>
      <w:r>
        <w:t>Systems are monitored via Vault and alert routing in Workday.</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In Progress</w:t>
            </w:r>
          </w:p>
        </w:tc>
      </w:tr>
      <w:tr>
        <w:tc>
          <w:tcPr>
            <w:tcW w:type="dxa" w:w="2880"/>
          </w:tcPr>
          <w:p>
            <w:r>
              <w:t>Incident drill</w:t>
            </w:r>
          </w:p>
        </w:tc>
        <w:tc>
          <w:tcPr>
            <w:tcW w:type="dxa" w:w="2880"/>
          </w:tcPr>
          <w:p>
            <w:r>
              <w:t>Product Manager</w:t>
            </w:r>
          </w:p>
        </w:tc>
        <w:tc>
          <w:tcPr>
            <w:tcW w:type="dxa" w:w="2880"/>
          </w:tcPr>
          <w:p>
            <w:r>
              <w:t>Blocked</w:t>
            </w:r>
          </w:p>
        </w:tc>
      </w:tr>
      <w:tr>
        <w:tc>
          <w:tcPr>
            <w:tcW w:type="dxa" w:w="2880"/>
          </w:tcPr>
          <w:p>
            <w:r>
              <w:t>Access review</w:t>
            </w:r>
          </w:p>
        </w:tc>
        <w:tc>
          <w:tcPr>
            <w:tcW w:type="dxa" w:w="2880"/>
          </w:tcPr>
          <w:p>
            <w:r>
              <w:t>Product Manager</w:t>
            </w:r>
          </w:p>
        </w:tc>
        <w:tc>
          <w:tcPr>
            <w:tcW w:type="dxa" w:w="2880"/>
          </w:tcPr>
          <w:p>
            <w:r>
              <w:t>Planned</w:t>
            </w:r>
          </w:p>
        </w:tc>
      </w:tr>
      <w:tr>
        <w:tc>
          <w:tcPr>
            <w:tcW w:type="dxa" w:w="2880"/>
          </w:tcPr>
          <w:p>
            <w:r>
              <w:t>Access review</w:t>
            </w:r>
          </w:p>
        </w:tc>
        <w:tc>
          <w:tcPr>
            <w:tcW w:type="dxa" w:w="2880"/>
          </w:tcPr>
          <w:p>
            <w:r>
              <w:t>Operations</w:t>
            </w:r>
          </w:p>
        </w:tc>
        <w:tc>
          <w:tcPr>
            <w:tcW w:type="dxa" w:w="2880"/>
          </w:tcPr>
          <w:p>
            <w:r>
              <w:t>Complete</w:t>
            </w:r>
          </w:p>
        </w:tc>
      </w:tr>
    </w:tbl>
    <w:p>
      <w:pPr>
        <w:pStyle w:val="Heading1"/>
      </w:pPr>
      <w:r>
        <w:t>Incident Response</w:t>
      </w:r>
    </w:p>
    <w:p>
      <w:r>
        <w:t>Risk acceptance must be documented and revalidated each quarter. All incidents are tagged with severity and mapped to service tiers.</w:t>
      </w:r>
    </w:p>
    <w:p>
      <w:pPr>
        <w:pStyle w:val="ListBullet"/>
      </w:pPr>
      <w:r>
        <w:t>Audit sampling occurs monthly and is summarized in leadership dashboards.</w:t>
      </w:r>
    </w:p>
    <w:p>
      <w:pPr>
        <w:pStyle w:val="ListBullet"/>
      </w:pPr>
      <w:r>
        <w:t>Stakeholders include the Product Manager, service owner, and compliance lead for approvals.</w:t>
      </w:r>
    </w:p>
    <w:p>
      <w:pPr>
        <w:pStyle w:val="ListBullet"/>
      </w:pPr>
      <w:r>
        <w:t>The process integrates with Ticketing Platform and depends on Vault for telemetry signals.</w:t>
      </w:r>
    </w:p>
    <w:p>
      <w:pPr>
        <w:pStyle w:val="ListBullet"/>
      </w:pPr>
      <w:r>
        <w:t>All changes require peer review and validation in the Ticketing Platform before production promotion.</w:t>
      </w:r>
    </w:p>
    <w:p>
      <w:pPr>
        <w:pStyle w:val="ListBullet"/>
      </w:pPr>
      <w:r>
        <w:t>The process integrates with Ticketing Platform and depends on Vault for telemetry signals.</w:t>
      </w:r>
    </w:p>
    <w:p>
      <w:pPr>
        <w:pStyle w:val="Heading1"/>
      </w:pPr>
      <w:r>
        <w:t>Audit Requirements</w:t>
      </w:r>
    </w:p>
    <w:p>
      <w:r>
        <w:t>Risk acceptance must be documented and revalidated each quarter. Evidence artifacts are retained in Workday for at least 12 months.</w:t>
      </w:r>
    </w:p>
    <w:p>
      <w:r>
        <w:t>The process integrates with Ticketing Platform and depends on Vault for telemetry signals. Audit sampling occurs monthly and is summarized in leadership dashboards. Teams must log requests in Workday and track outcomes in Ticketing Platform for audit readiness.</w:t>
      </w:r>
    </w:p>
    <w:p>
      <w:pPr>
        <w:pStyle w:val="ListBullet"/>
      </w:pPr>
      <w:r>
        <w:t>Stakeholders include the Product Manager, service owner, and compliance lead for approvals.</w:t>
      </w:r>
    </w:p>
    <w:p>
      <w:pPr>
        <w:pStyle w:val="ListBullet"/>
      </w:pPr>
      <w:r>
        <w:t>Teams must log requests in Workday and track outcomes in Ticketing Platform for audit readiness.</w:t>
      </w:r>
    </w:p>
    <w:p>
      <w:pPr>
        <w:pStyle w:val="ListBullet"/>
      </w:pPr>
      <w:r>
        <w:t>The process integrates with Ticketing Platform and depends on Vault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