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Procurement APAC v2.1</w:t>
      </w:r>
    </w:p>
    <w:p>
      <w:r>
        <w:t>Department: Procurement</w:t>
      </w:r>
    </w:p>
    <w:p>
      <w:r>
        <w:t>Author: Casey Smith</w:t>
      </w:r>
    </w:p>
    <w:p>
      <w:r>
        <w:t>Created date: 2024-04-07</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We prioritize customer impact, data integrity, and regulatory alignment. This document aligns with PCI DSS requirements and supports APAC data residency expectations. Evidence artifacts are retained in Zoom for at least 24 months.</w:t>
      </w:r>
    </w:p>
    <w:p>
      <w:pPr>
        <w:pStyle w:val="ListBullet"/>
      </w:pPr>
      <w:r>
        <w:t>Regional teams in APAC follow the same policy with localized legal review.</w:t>
      </w:r>
    </w:p>
    <w:p>
      <w:pPr>
        <w:pStyle w:val="ListBullet"/>
      </w:pPr>
      <w:r>
        <w:t>Teams must log requests in Zoom and track outcomes in Ticketing Platform for audit readiness.</w:t>
      </w:r>
    </w:p>
    <w:p>
      <w:pPr>
        <w:pStyle w:val="ListBullet"/>
      </w:pPr>
      <w:r>
        <w:t>Evidence artifacts are retained in Zoom for at least 24 months.</w:t>
      </w:r>
    </w:p>
    <w:p>
      <w:pPr>
        <w:pStyle w:val="ListBullet"/>
      </w:pPr>
      <w:r>
        <w:t>The process integrates with Ticketing Platform and depends on Azure for telemetry signals.</w:t>
      </w:r>
    </w:p>
    <w:p>
      <w:pPr>
        <w:pStyle w:val="Heading1"/>
      </w:pPr>
      <w:r>
        <w:t>Access Control</w:t>
      </w:r>
    </w:p>
    <w:p>
      <w:r>
        <w:t>Regional teams in APAC follow the same policy with localized legal review. We prioritize customer impact, data integrity, and regulatory alignment. We prioritize customer impact, data integrity, and regulatory alignment. Teams must log requests in Zoom and track outcomes in Ticketing Platform for audit readiness.</w:t>
      </w:r>
    </w:p>
    <w:p>
      <w:r>
        <w:t>The Procurement organization uses Azure to enforce consistent service baselines. Risk acceptance must be documented and revalidated each quarter.</w:t>
      </w:r>
    </w:p>
    <w:p>
      <w:pPr>
        <w:pStyle w:val="ListBullet"/>
      </w:pPr>
      <w:r>
        <w:t>The Procurement team coordinates with Product Manager to maintain operational readiness.</w:t>
      </w:r>
    </w:p>
    <w:p>
      <w:pPr>
        <w:pStyle w:val="ListBullet"/>
      </w:pPr>
      <w:r>
        <w:t>Regional teams in APAC follow the same policy with localized legal review.</w:t>
      </w:r>
    </w:p>
    <w:p>
      <w:pPr>
        <w:pStyle w:val="ListBullet"/>
      </w:pPr>
      <w:r>
        <w:t>Systems are monitored via Azure and alert routing in Zoom.</w:t>
      </w:r>
    </w:p>
    <w:p>
      <w:pPr>
        <w:pStyle w:val="ListBullet"/>
      </w:pPr>
      <w:r>
        <w:t>The Procurement organization uses Azure to enforce consistent service baselines.</w:t>
      </w:r>
    </w:p>
    <w:p>
      <w:pPr>
        <w:pStyle w:val="ListBullet"/>
      </w:pPr>
      <w:r>
        <w:t>Escalations should follow the on-call rotation with a response target of 60 minutes.</w:t>
      </w:r>
    </w:p>
    <w:p>
      <w:pPr>
        <w:pStyle w:val="Heading1"/>
      </w:pPr>
      <w:r>
        <w:t>Monitoring</w:t>
      </w:r>
    </w:p>
    <w:p>
      <w:r>
        <w:t>The Procurement team coordinates with Product Manager to maintain operational readiness. We prioritize customer impact, data integrity, and regulatory alignment.</w:t>
      </w:r>
    </w:p>
    <w:p>
      <w:pPr>
        <w:pStyle w:val="ListBullet"/>
      </w:pPr>
      <w:r>
        <w:t>The process integrates with Ticketing Platform and depends on Azure for telemetry signals.</w:t>
      </w:r>
    </w:p>
    <w:p>
      <w:pPr>
        <w:pStyle w:val="ListBullet"/>
      </w:pPr>
      <w:r>
        <w:t>Systems are monitored via Azure and alert routing in Zoom.</w:t>
      </w:r>
    </w:p>
    <w:p>
      <w:pPr>
        <w:pStyle w:val="ListBullet"/>
      </w:pPr>
      <w:r>
        <w:t>This document aligns with PCI DSS requirements and supports APAC data residency expectations.</w:t>
      </w:r>
    </w:p>
    <w:p>
      <w:pPr>
        <w:pStyle w:val="ListBullet"/>
      </w:pPr>
      <w:r>
        <w:t>Systems are monitored via Azure and alert routing in Zoom.</w:t>
      </w:r>
    </w:p>
    <w:p>
      <w:pPr>
        <w:pStyle w:val="ListBullet"/>
      </w:pPr>
      <w:r>
        <w:t>Systems are monitored via Azure and alert routing in Zoom.</w:t>
      </w:r>
    </w:p>
    <w:p>
      <w:pPr>
        <w:pStyle w:val="ListBullet"/>
      </w:pPr>
      <w:r>
        <w:t>All incidents are tagged with severity and mapped to service tiers.</w:t>
      </w:r>
    </w:p>
    <w:p>
      <w:pPr>
        <w:pStyle w:val="Heading1"/>
      </w:pPr>
      <w:r>
        <w:t>Incident Response</w:t>
      </w:r>
    </w:p>
    <w:p>
      <w:r>
        <w:t>We prioritize customer impact, data integrity, and regulatory alignment. Escalations should follow the on-call rotation with a response target of 60 minutes. The Procurement team coordinates with Product Manager to maintain operational readiness.</w:t>
      </w:r>
    </w:p>
    <w:p>
      <w:r>
        <w:t>Escalations should follow the on-call rotation with a response target of 60 minutes. This document aligns with PCI DSS requirements and supports APAC data residency expectations.</w:t>
      </w:r>
    </w:p>
    <w:p>
      <w:pPr>
        <w:pStyle w:val="ListBullet"/>
      </w:pPr>
      <w:r>
        <w:t>All changes require peer review and validation in the Ticketing Platform before production promotion.</w:t>
      </w:r>
    </w:p>
    <w:p>
      <w:pPr>
        <w:pStyle w:val="ListBullet"/>
      </w:pPr>
      <w:r>
        <w:t>All changes require peer review and validation in the Ticketing Platform before production promotion.</w:t>
      </w:r>
    </w:p>
    <w:p>
      <w:pPr>
        <w:pStyle w:val="ListBullet"/>
      </w:pPr>
      <w:r>
        <w:t>Evidence artifacts are retained in Zoom for at least 24 months.</w:t>
      </w:r>
    </w:p>
    <w:p>
      <w:pPr>
        <w:pStyle w:val="ListBullet"/>
      </w:pPr>
      <w:r>
        <w:t>The Procurement organization uses Azure to enforce consistent service baselines.</w:t>
      </w:r>
    </w:p>
    <w:p>
      <w:pPr>
        <w:pStyle w:val="ListBullet"/>
      </w:pPr>
      <w:r>
        <w:t>Teams must log requests in Zoom and track outcomes in Ticketing Platform for audit readiness.</w:t>
      </w:r>
    </w:p>
    <w:p>
      <w:pPr>
        <w:pStyle w:val="ListBullet"/>
      </w:pPr>
      <w:r>
        <w:t>We prioritize customer impact, data integrity, and regulatory alignment.</w:t>
      </w:r>
    </w:p>
    <w:p>
      <w:pPr>
        <w:pStyle w:val="Heading1"/>
      </w:pPr>
      <w:r>
        <w:t>Audit Requirements</w:t>
      </w:r>
    </w:p>
    <w:p>
      <w:r>
        <w:t>The Procurement team coordinates with Product Manager to maintain operational readiness. Evidence artifacts are retained in Zoom for at least 24 months. Regional teams in APAC follow the same policy with localized legal review.</w:t>
      </w:r>
    </w:p>
    <w:p>
      <w:r>
        <w:t>All incidents are tagged with severity and mapped to service tiers. Systems are monitored via Azure and alert routing in Zoom. Audit sampling occurs monthly and is summarized in leadership dashboards.</w:t>
      </w:r>
    </w:p>
    <w:p>
      <w:pPr>
        <w:pStyle w:val="ListBullet"/>
      </w:pPr>
      <w:r>
        <w:t>The process integrates with Ticketing Platform and depends on Azure for telemetry signals.</w:t>
      </w:r>
    </w:p>
    <w:p>
      <w:pPr>
        <w:pStyle w:val="ListBullet"/>
      </w:pPr>
      <w:r>
        <w:t>This document aligns with PCI DSS requirements and supports APAC data residency expectations.</w:t>
      </w:r>
    </w:p>
    <w:p>
      <w:pPr>
        <w:pStyle w:val="ListBullet"/>
      </w:pPr>
      <w:r>
        <w:t>Regional teams in APAC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