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Product APAC v2.1</w:t>
      </w:r>
    </w:p>
    <w:p>
      <w:r>
        <w:t>Department: Product</w:t>
      </w:r>
    </w:p>
    <w:p>
      <w:r>
        <w:t>Author: Jordan Kim</w:t>
      </w:r>
    </w:p>
    <w:p>
      <w:r>
        <w:t>Created date: 2024-03-08</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Escalations should follow the on-call rotation with a response target of 30 minutes. Escalations should follow the on-call rotation with a response target of 30 minutes. The Product organization uses Vault to enforce consistent service baselines.</w:t>
      </w:r>
    </w:p>
    <w:p>
      <w:pPr>
        <w:pStyle w:val="ListBullet"/>
      </w:pPr>
      <w:r>
        <w:t>All incidents are tagged with severity and mapped to service tiers.</w:t>
      </w:r>
    </w:p>
    <w:p>
      <w:pPr>
        <w:pStyle w:val="ListBullet"/>
      </w:pPr>
      <w:r>
        <w:t>Teams must log requests in Workday and track outcomes in Identity Access Gateway for audit readiness.</w:t>
      </w:r>
    </w:p>
    <w:p>
      <w:pPr>
        <w:pStyle w:val="ListBullet"/>
      </w:pPr>
      <w:r>
        <w:t>The process integrates with Identity Access Gateway and depends on Vault for telemetry signals.</w:t>
      </w:r>
    </w:p>
    <w:p>
      <w:pPr>
        <w:pStyle w:val="ListBullet"/>
      </w:pPr>
      <w:r>
        <w:t>The Product organization uses Vault to enforce consistent service baselines.</w:t>
      </w:r>
    </w:p>
    <w:p>
      <w:pPr>
        <w:pStyle w:val="ListBullet"/>
      </w:pPr>
      <w:r>
        <w:t>Systems are monitored via Vault and alert routing in Workday.</w:t>
      </w:r>
    </w:p>
    <w:p>
      <w:pPr>
        <w:pStyle w:val="Heading1"/>
      </w:pPr>
      <w:r>
        <w:t>Access Control</w:t>
      </w:r>
    </w:p>
    <w:p>
      <w:r>
        <w:t>The Product organization uses Vault to enforce consistent service baselines. The process integrates with Identity Access Gateway and depends on Vault for telemetry signals.</w:t>
      </w:r>
    </w:p>
    <w:p>
      <w:r>
        <w:t>The Product organization uses Vault to enforce consistent service baselines. Escalations should follow the on-call rotation with a response target of 30 minutes. The Product organization uses Vault to enforce consistent service baselines.</w:t>
      </w:r>
    </w:p>
    <w:p>
      <w:pPr>
        <w:pStyle w:val="ListBullet"/>
      </w:pPr>
      <w:r>
        <w:t>This document aligns with HIPAA requirements and supports APAC data residency expectations.</w:t>
      </w:r>
    </w:p>
    <w:p>
      <w:pPr>
        <w:pStyle w:val="ListBullet"/>
      </w:pPr>
      <w:r>
        <w:t>We prioritize customer impact, data integrity, and regulatory alignment.</w:t>
      </w:r>
    </w:p>
    <w:p>
      <w:pPr>
        <w:pStyle w:val="ListBullet"/>
      </w:pPr>
      <w:r>
        <w:t>Evidence artifacts are retained in Workday for at least 36 months.</w:t>
      </w:r>
    </w:p>
    <w:p>
      <w:pPr>
        <w:pStyle w:val="ListBullet"/>
      </w:pPr>
      <w:r>
        <w:t>Systems are monitored via Vault and alert routing in Workday.</w:t>
      </w:r>
    </w:p>
    <w:p>
      <w:pPr>
        <w:pStyle w:val="ListBullet"/>
      </w:pPr>
      <w:r>
        <w:t>The Product team coordinates with Procurement Lead to maintain operational readiness.</w:t>
      </w:r>
    </w:p>
    <w:p>
      <w:pPr>
        <w:pStyle w:val="ListBullet"/>
      </w:pPr>
      <w:r>
        <w:t>Escalations should follow the on-call rotation with a response target of 30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Procurement Lead</w:t>
            </w:r>
          </w:p>
        </w:tc>
        <w:tc>
          <w:tcPr>
            <w:tcW w:type="dxa" w:w="2880"/>
          </w:tcPr>
          <w:p>
            <w:r>
              <w:t>Planned</w:t>
            </w:r>
          </w:p>
        </w:tc>
      </w:tr>
      <w:tr>
        <w:tc>
          <w:tcPr>
            <w:tcW w:type="dxa" w:w="2880"/>
          </w:tcPr>
          <w:p>
            <w:r>
              <w:t>Vendor check</w:t>
            </w:r>
          </w:p>
        </w:tc>
        <w:tc>
          <w:tcPr>
            <w:tcW w:type="dxa" w:w="2880"/>
          </w:tcPr>
          <w:p>
            <w:r>
              <w:t>Operations</w:t>
            </w:r>
          </w:p>
        </w:tc>
        <w:tc>
          <w:tcPr>
            <w:tcW w:type="dxa" w:w="2880"/>
          </w:tcPr>
          <w:p>
            <w:r>
              <w:t>In Progress</w:t>
            </w:r>
          </w:p>
        </w:tc>
      </w:tr>
    </w:tbl>
    <w:p>
      <w:pPr>
        <w:pStyle w:val="Heading1"/>
      </w:pPr>
      <w:r>
        <w:t>Monitoring</w:t>
      </w:r>
    </w:p>
    <w:p>
      <w:r>
        <w:t>Teams must log requests in Workday and track outcomes in Identity Access Gateway for audit readiness. The Product team coordinates with Procurement Lead to maintain operational readiness. Escalations should follow the on-call rotation with a response target of 30 minutes.</w:t>
      </w:r>
    </w:p>
    <w:p>
      <w:r>
        <w:t>The Product team coordinates with Procurement Lead to maintain operational readiness. Teams must log requests in Workday and track outcomes in Identity Access Gateway for audit readiness. Stakeholders include the Procurement Lead, service owner, and compliance lead for approvals. All incidents are tagged with severity and mapped to service tiers.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Teams must log requests in Workday and track outcomes in Identity Access Gateway for audit readiness.</w:t>
      </w:r>
    </w:p>
    <w:p>
      <w:pPr>
        <w:pStyle w:val="ListBullet"/>
      </w:pPr>
      <w:r>
        <w:t>The Product organization uses Vault to enforce consistent service baselines.</w:t>
      </w:r>
    </w:p>
    <w:p>
      <w:pPr>
        <w:pStyle w:val="ListBullet"/>
      </w:pPr>
      <w:r>
        <w:t>Risk acceptance must be documented and revalidated each quarter.</w:t>
      </w:r>
    </w:p>
    <w:p>
      <w:pPr>
        <w:pStyle w:val="Heading1"/>
      </w:pPr>
      <w:r>
        <w:t>Incident Response</w:t>
      </w:r>
    </w:p>
    <w:p>
      <w:r>
        <w:t>We prioritize customer impact, data integrity, and regulatory alignment. Regional teams in APAC follow the same policy with localized legal review. Risk acceptance must be documented and revalidated each quarter. Regional teams in APAC follow the same policy with localized legal review.</w:t>
      </w:r>
    </w:p>
    <w:p>
      <w:r>
        <w:t>All changes require peer review and validation in the Identity Access Gateway before production promotion. All changes require peer review and validation in the Identity Access Gateway before production promotion.</w:t>
      </w:r>
    </w:p>
    <w:p>
      <w:pPr>
        <w:pStyle w:val="ListBullet"/>
      </w:pPr>
      <w:r>
        <w:t>Stakeholders include the Procurement Lead, service owner, and compliance lead for approvals.</w:t>
      </w:r>
    </w:p>
    <w:p>
      <w:pPr>
        <w:pStyle w:val="ListBullet"/>
      </w:pPr>
      <w:r>
        <w:t>The Product organization uses Vault to enforce consistent service baselines.</w:t>
      </w:r>
    </w:p>
    <w:p>
      <w:pPr>
        <w:pStyle w:val="ListBullet"/>
      </w:pPr>
      <w:r>
        <w:t>Stakeholders include the Procurement Lead, service owner, and compliance lead for approvals.</w:t>
      </w:r>
    </w:p>
    <w:p>
      <w:pPr>
        <w:pStyle w:val="ListBullet"/>
      </w:pPr>
      <w:r>
        <w:t>This document aligns with HIPAA requirements and supports APAC data residency expectations.</w:t>
      </w:r>
    </w:p>
    <w:p>
      <w:pPr>
        <w:pStyle w:val="ListBullet"/>
      </w:pPr>
      <w:r>
        <w:t>We prioritize customer impact, data integrity, and regulatory alignment.</w:t>
      </w:r>
    </w:p>
    <w:p>
      <w:pPr>
        <w:pStyle w:val="Heading1"/>
      </w:pPr>
      <w:r>
        <w:t>Audit Requirements</w:t>
      </w:r>
    </w:p>
    <w:p>
      <w:r>
        <w:t>Systems are monitored via Vault and alert routing in Workday. The process integrates with Identity Access Gateway and depends on Vault for telemetry signals. The Product team coordinates with Procurement Lead to maintain operational readiness. The Product team coordinates with Procurement Lead to maintain operational readiness.</w:t>
      </w:r>
    </w:p>
    <w:p>
      <w:r>
        <w:t>Risk acceptance must be documented and revalidated each quarter. We prioritize customer impact, data integrity, and regulatory alignment.</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Regional teams in APAC follow the same policy with localized legal review.</w:t>
      </w:r>
    </w:p>
    <w:p>
      <w:pPr>
        <w:pStyle w:val="ListBullet"/>
      </w:pPr>
      <w:r>
        <w:t>The process integrates with Identity Access Gateway and depends on Vault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Product</w:t>
            </w:r>
          </w:p>
        </w:tc>
        <w:tc>
          <w:tcPr>
            <w:tcW w:type="dxa" w:w="2880"/>
          </w:tcPr>
          <w:p>
            <w:r>
              <w:t>Complete</w:t>
            </w:r>
          </w:p>
        </w:tc>
      </w:tr>
      <w:tr>
        <w:tc>
          <w:tcPr>
            <w:tcW w:type="dxa" w:w="2880"/>
          </w:tcPr>
          <w:p>
            <w:r>
              <w:t>Incident drill</w:t>
            </w:r>
          </w:p>
        </w:tc>
        <w:tc>
          <w:tcPr>
            <w:tcW w:type="dxa" w:w="2880"/>
          </w:tcPr>
          <w:p>
            <w:r>
              <w:t>Security</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