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Product US v2.1</w:t>
      </w:r>
    </w:p>
    <w:p>
      <w:r>
        <w:t>Department: Product</w:t>
      </w:r>
    </w:p>
    <w:p>
      <w:r>
        <w:t>Author: Casey Garcia</w:t>
      </w:r>
    </w:p>
    <w:p>
      <w:r>
        <w:t>Created date: 2026-02-15</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Audit sampling occurs monthly and is summarized in leadership dashboards. All incidents are tagged with severity and mapped to service tiers. Stakeholders include the Systems Engineer, service owner, and compliance lead for approvals. Evidence artifacts are retained in Workday for at least 12 months.</w:t>
      </w:r>
    </w:p>
    <w:p>
      <w:pPr>
        <w:pStyle w:val="ListBullet"/>
      </w:pPr>
      <w:r>
        <w:t>Audit sampling occurs monthly and is summarized in leadership dashboards.</w:t>
      </w:r>
    </w:p>
    <w:p>
      <w:pPr>
        <w:pStyle w:val="ListBullet"/>
      </w:pPr>
      <w:r>
        <w:t>All changes require peer review and validation in the Customer Data Lake before production promotion.</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Escalations should follow the on-call rotation with a response target of 15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Patch window</w:t>
            </w:r>
          </w:p>
        </w:tc>
        <w:tc>
          <w:tcPr>
            <w:tcW w:type="dxa" w:w="2880"/>
          </w:tcPr>
          <w:p>
            <w:r>
              <w:t>Product</w:t>
            </w:r>
          </w:p>
        </w:tc>
        <w:tc>
          <w:tcPr>
            <w:tcW w:type="dxa" w:w="2880"/>
          </w:tcPr>
          <w:p>
            <w:r>
              <w:t>Planned</w:t>
            </w:r>
          </w:p>
        </w:tc>
      </w:tr>
      <w:tr>
        <w:tc>
          <w:tcPr>
            <w:tcW w:type="dxa" w:w="2880"/>
          </w:tcPr>
          <w:p>
            <w:r>
              <w:t>Access review</w:t>
            </w:r>
          </w:p>
        </w:tc>
        <w:tc>
          <w:tcPr>
            <w:tcW w:type="dxa" w:w="2880"/>
          </w:tcPr>
          <w:p>
            <w:r>
              <w:t>Product</w:t>
            </w:r>
          </w:p>
        </w:tc>
        <w:tc>
          <w:tcPr>
            <w:tcW w:type="dxa" w:w="2880"/>
          </w:tcPr>
          <w:p>
            <w:r>
              <w:t>In Progress</w:t>
            </w:r>
          </w:p>
        </w:tc>
      </w:tr>
      <w:tr>
        <w:tc>
          <w:tcPr>
            <w:tcW w:type="dxa" w:w="2880"/>
          </w:tcPr>
          <w:p>
            <w:r>
              <w:t>Access review</w:t>
            </w:r>
          </w:p>
        </w:tc>
        <w:tc>
          <w:tcPr>
            <w:tcW w:type="dxa" w:w="2880"/>
          </w:tcPr>
          <w:p>
            <w:r>
              <w:t>Operations</w:t>
            </w:r>
          </w:p>
        </w:tc>
        <w:tc>
          <w:tcPr>
            <w:tcW w:type="dxa" w:w="2880"/>
          </w:tcPr>
          <w:p>
            <w:r>
              <w:t>Complete</w:t>
            </w:r>
          </w:p>
        </w:tc>
      </w:tr>
    </w:tbl>
    <w:p>
      <w:pPr>
        <w:pStyle w:val="Heading1"/>
      </w:pPr>
      <w:r>
        <w:t>Access Control</w:t>
      </w:r>
    </w:p>
    <w:p>
      <w:r>
        <w:t>Systems are monitored via Redis and alert routing in Workday. Systems are monitored via Redis and alert routing in Workday. This document aligns with SOX requirements and supports US data residency expectations.</w:t>
      </w:r>
    </w:p>
    <w:p>
      <w:pPr>
        <w:pStyle w:val="ListBullet"/>
      </w:pPr>
      <w:r>
        <w:t>Regional teams in US follow the same policy with localized legal review.</w:t>
      </w:r>
    </w:p>
    <w:p>
      <w:pPr>
        <w:pStyle w:val="ListBullet"/>
      </w:pPr>
      <w:r>
        <w:t>Escalations should follow the on-call rotation with a response target of 15 minutes.</w:t>
      </w:r>
    </w:p>
    <w:p>
      <w:pPr>
        <w:pStyle w:val="ListBullet"/>
      </w:pPr>
      <w:r>
        <w:t>The Product team coordinates with Systems Engineer to maintain operational readiness.</w:t>
      </w:r>
    </w:p>
    <w:p>
      <w:pPr>
        <w:pStyle w:val="Heading1"/>
      </w:pPr>
      <w:r>
        <w:t>Monitoring</w:t>
      </w:r>
    </w:p>
    <w:p>
      <w:r>
        <w:t>The Product organization uses Redis to enforce consistent service baselines. We prioritize customer impact, data integrity, and regulatory alignment.</w:t>
      </w:r>
    </w:p>
    <w:p>
      <w:pPr>
        <w:pStyle w:val="ListBullet"/>
      </w:pPr>
      <w:r>
        <w:t>The Product organization uses Redis to enforce consistent service baselines.</w:t>
      </w:r>
    </w:p>
    <w:p>
      <w:pPr>
        <w:pStyle w:val="ListBullet"/>
      </w:pPr>
      <w:r>
        <w:t>The process integrates with Customer Data Lake and depends on Redis for telemetry signals.</w:t>
      </w:r>
    </w:p>
    <w:p>
      <w:pPr>
        <w:pStyle w:val="ListBullet"/>
      </w:pPr>
      <w:r>
        <w:t>Audit sampling occurs monthly and is summarized in leadership dashboards.</w:t>
      </w:r>
    </w:p>
    <w:p>
      <w:pPr>
        <w:pStyle w:val="ListBullet"/>
      </w:pPr>
      <w:r>
        <w:t>Systems are monitored via Redis and alert routing in Workday.</w:t>
      </w:r>
    </w:p>
    <w:p>
      <w:pPr>
        <w:pStyle w:val="ListBullet"/>
      </w:pPr>
      <w:r>
        <w:t>Systems are monitored via Redis and alert routing in Workday.</w:t>
      </w:r>
    </w:p>
    <w:p>
      <w:pPr>
        <w:pStyle w:val="ListBullet"/>
      </w:pPr>
      <w:r>
        <w:t>Stakeholders include the Systems Engineer,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Product</w:t>
            </w:r>
          </w:p>
        </w:tc>
        <w:tc>
          <w:tcPr>
            <w:tcW w:type="dxa" w:w="2880"/>
          </w:tcPr>
          <w:p>
            <w:r>
              <w:t>Blocked</w:t>
            </w:r>
          </w:p>
        </w:tc>
      </w:tr>
      <w:tr>
        <w:tc>
          <w:tcPr>
            <w:tcW w:type="dxa" w:w="2880"/>
          </w:tcPr>
          <w:p>
            <w:r>
              <w:t>Vendor check</w:t>
            </w:r>
          </w:p>
        </w:tc>
        <w:tc>
          <w:tcPr>
            <w:tcW w:type="dxa" w:w="2880"/>
          </w:tcPr>
          <w:p>
            <w:r>
              <w:t>Operations</w:t>
            </w:r>
          </w:p>
        </w:tc>
        <w:tc>
          <w:tcPr>
            <w:tcW w:type="dxa" w:w="2880"/>
          </w:tcPr>
          <w:p>
            <w:r>
              <w:t>Complete</w:t>
            </w:r>
          </w:p>
        </w:tc>
      </w:tr>
    </w:tbl>
    <w:p>
      <w:pPr>
        <w:pStyle w:val="Heading1"/>
      </w:pPr>
      <w:r>
        <w:t>Incident Response</w:t>
      </w:r>
    </w:p>
    <w:p>
      <w:r>
        <w:t>This document aligns with SOX requirements and supports US data residency expectations. The process integrates with Customer Data Lake and depends on Redis for telemetry signals.</w:t>
      </w:r>
    </w:p>
    <w:p>
      <w:pPr>
        <w:pStyle w:val="ListBullet"/>
      </w:pPr>
      <w:r>
        <w:t>Stakeholders include the Systems Engineer, service owner, and compliance lead for approvals.</w:t>
      </w:r>
    </w:p>
    <w:p>
      <w:pPr>
        <w:pStyle w:val="ListBullet"/>
      </w:pPr>
      <w:r>
        <w:t>Stakeholders include the Systems Engineer, service owner, and compliance lead for approvals.</w:t>
      </w:r>
    </w:p>
    <w:p>
      <w:pPr>
        <w:pStyle w:val="ListBullet"/>
      </w:pPr>
      <w:r>
        <w:t>Regional teams in US follow the same policy with localized legal review.</w:t>
      </w:r>
    </w:p>
    <w:p>
      <w:pPr>
        <w:pStyle w:val="ListBullet"/>
      </w:pPr>
      <w:r>
        <w:t>All incidents are tagged with severity and mapped to service tiers.</w:t>
      </w:r>
    </w:p>
    <w:p>
      <w:pPr>
        <w:pStyle w:val="Heading1"/>
      </w:pPr>
      <w:r>
        <w:t>Audit Requirements</w:t>
      </w:r>
    </w:p>
    <w:p>
      <w:r>
        <w:t>All changes require peer review and validation in the Customer Data Lake before production promotion. All changes require peer review and validation in the Customer Data Lake before production promotion. Systems are monitored via Redis and alert routing in Workday. Systems are monitored via Redis and alert routing in Workday.</w:t>
      </w:r>
    </w:p>
    <w:p>
      <w:pPr>
        <w:pStyle w:val="ListBullet"/>
      </w:pPr>
      <w:r>
        <w:t>Risk acceptance must be documented and revalidated each quarter.</w:t>
      </w:r>
    </w:p>
    <w:p>
      <w:pPr>
        <w:pStyle w:val="ListBullet"/>
      </w:pPr>
      <w:r>
        <w:t>The Product team coordinates with Systems Engineer to maintain operational readiness.</w:t>
      </w:r>
    </w:p>
    <w:p>
      <w:pPr>
        <w:pStyle w:val="ListBullet"/>
      </w:pPr>
      <w:r>
        <w:t>Teams must log requests in Workday and track outcomes in Customer Data Lake for audit readiness.</w:t>
      </w:r>
    </w:p>
    <w:p>
      <w:pPr>
        <w:pStyle w:val="ListBullet"/>
      </w:pPr>
      <w:r>
        <w:t>The Product organization uses Redis to enforce consistent service baselines.</w:t>
      </w:r>
    </w:p>
    <w:p>
      <w:pPr>
        <w:pStyle w:val="ListBullet"/>
      </w:pPr>
      <w:r>
        <w:t>Regional teams in US follow the same policy with localized legal review.</w:t>
      </w:r>
    </w:p>
    <w:p>
      <w:pPr>
        <w:pStyle w:val="ListBullet"/>
      </w:pPr>
      <w:r>
        <w:t>Stakeholders include the Systems Engineer,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Product</w:t>
            </w:r>
          </w:p>
        </w:tc>
        <w:tc>
          <w:tcPr>
            <w:tcW w:type="dxa" w:w="2880"/>
          </w:tcPr>
          <w:p>
            <w:r>
              <w:t>In Progress</w:t>
            </w:r>
          </w:p>
        </w:tc>
      </w:tr>
      <w:tr>
        <w:tc>
          <w:tcPr>
            <w:tcW w:type="dxa" w:w="2880"/>
          </w:tcPr>
          <w:p>
            <w:r>
              <w:t>Vendor check</w:t>
            </w:r>
          </w:p>
        </w:tc>
        <w:tc>
          <w:tcPr>
            <w:tcW w:type="dxa" w:w="2880"/>
          </w:tcPr>
          <w:p>
            <w:r>
              <w:t>Operations</w:t>
            </w:r>
          </w:p>
        </w:tc>
        <w:tc>
          <w:tcPr>
            <w:tcW w:type="dxa" w:w="2880"/>
          </w:tcPr>
          <w:p>
            <w:r>
              <w:t>Complete</w:t>
            </w:r>
          </w:p>
        </w:tc>
      </w:tr>
      <w:tr>
        <w:tc>
          <w:tcPr>
            <w:tcW w:type="dxa" w:w="2880"/>
          </w:tcPr>
          <w:p>
            <w:r>
              <w:t>Patch window</w:t>
            </w:r>
          </w:p>
        </w:tc>
        <w:tc>
          <w:tcPr>
            <w:tcW w:type="dxa" w:w="2880"/>
          </w:tcPr>
          <w:p>
            <w:r>
              <w:t>Product</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