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Compliance APAC v3.0</w:t>
      </w:r>
    </w:p>
    <w:p>
      <w:r>
        <w:t>Department: Compliance</w:t>
      </w:r>
    </w:p>
    <w:p>
      <w:r>
        <w:t>Author: Avery Lee</w:t>
      </w:r>
    </w:p>
    <w:p>
      <w:r>
        <w:t>Created date: 2025-01-12</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All incidents are tagged with severity and mapped to service tiers. The Compliance team coordinates with Release Manager to maintain operational readiness. We prioritize customer impact, data integrity, and regulatory alignment. The Compliance organization uses Azure AD to enforce consistent service baselines.</w:t>
      </w:r>
    </w:p>
    <w:p>
      <w:pPr>
        <w:pStyle w:val="ListBullet"/>
      </w:pPr>
      <w:r>
        <w:t>Evidence artifacts are retained in Microsoft 365 for at least 36 months.</w:t>
      </w:r>
    </w:p>
    <w:p>
      <w:pPr>
        <w:pStyle w:val="ListBullet"/>
      </w:pPr>
      <w:r>
        <w:t>The process integrates with Monitoring Stack and depends on Azure AD for telemetry signals.</w:t>
      </w:r>
    </w:p>
    <w:p>
      <w:pPr>
        <w:pStyle w:val="ListBullet"/>
      </w:pPr>
      <w:r>
        <w:t>Evidence artifacts are retained in Microsoft 365 for at least 36 months.</w:t>
      </w:r>
    </w:p>
    <w:p>
      <w:pPr>
        <w:pStyle w:val="ListBullet"/>
      </w:pPr>
      <w:r>
        <w:t>Audit sampling occurs monthly and is summarized in leadership dashboards.</w:t>
      </w:r>
    </w:p>
    <w:p>
      <w:pPr>
        <w:pStyle w:val="ListBullet"/>
      </w:pPr>
      <w:r>
        <w:t>The Compliance team coordinates with Release Manager to maintain operational readiness.</w:t>
      </w:r>
    </w:p>
    <w:p>
      <w:pPr>
        <w:pStyle w:val="ListBullet"/>
      </w:pPr>
      <w:r>
        <w:t>This document aligns with GDPR requirements and supports APAC data residency expectations.</w:t>
      </w:r>
    </w:p>
    <w:p>
      <w:pPr>
        <w:pStyle w:val="Heading1"/>
      </w:pPr>
      <w:r>
        <w:t>Timeline</w:t>
      </w:r>
    </w:p>
    <w:p>
      <w:r>
        <w:t>Systems are monitored via Azure AD and alert routing in Microsoft 365. The Compliance team coordinates with Release Manager to maintain operational readiness. The Compliance organization uses Azure AD to enforce consistent service baselines.</w:t>
      </w:r>
    </w:p>
    <w:p>
      <w:pPr>
        <w:pStyle w:val="ListBullet"/>
      </w:pPr>
      <w:r>
        <w:t>Systems are monitored via Azure AD and alert routing in Microsoft 365.</w:t>
      </w:r>
    </w:p>
    <w:p>
      <w:pPr>
        <w:pStyle w:val="ListBullet"/>
      </w:pPr>
      <w:r>
        <w:t>All incidents are tagged with severity and mapped to service tiers.</w:t>
      </w:r>
    </w:p>
    <w:p>
      <w:pPr>
        <w:pStyle w:val="ListBullet"/>
      </w:pPr>
      <w:r>
        <w:t>Evidence artifacts are retained in Microsoft 365 for at least 36 months.</w:t>
      </w:r>
    </w:p>
    <w:p>
      <w:pPr>
        <w:pStyle w:val="Heading1"/>
      </w:pPr>
      <w:r>
        <w:t>Impact Analysis</w:t>
      </w:r>
    </w:p>
    <w:p>
      <w:r>
        <w:t>Risk acceptance must be documented and revalidated each quarter. All incidents are tagged with severity and mapped to service tiers.</w:t>
      </w:r>
    </w:p>
    <w:p>
      <w:r>
        <w:t>Teams must log requests in Microsoft 365 and track outcomes in Monitoring Stack for audit readiness. Escalations should follow the on-call rotation with a response target of 45 minutes.</w:t>
      </w:r>
    </w:p>
    <w:p>
      <w:pPr>
        <w:pStyle w:val="ListBullet"/>
      </w:pPr>
      <w:r>
        <w:t>This document aligns with GDPR requirements and supports APAC data residency expectations.</w:t>
      </w:r>
    </w:p>
    <w:p>
      <w:pPr>
        <w:pStyle w:val="ListBullet"/>
      </w:pPr>
      <w:r>
        <w:t>Regional teams in APAC follow the same policy with localized legal review.</w:t>
      </w:r>
    </w:p>
    <w:p>
      <w:pPr>
        <w:pStyle w:val="ListBullet"/>
      </w:pPr>
      <w:r>
        <w:t>All changes require peer review and validation in the Monitoring Stack before production promotion.</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Blocked</w:t>
            </w:r>
          </w:p>
        </w:tc>
      </w:tr>
      <w:tr>
        <w:tc>
          <w:tcPr>
            <w:tcW w:type="dxa" w:w="2880"/>
          </w:tcPr>
          <w:p>
            <w:r>
              <w:t>Vendor check</w:t>
            </w:r>
          </w:p>
        </w:tc>
        <w:tc>
          <w:tcPr>
            <w:tcW w:type="dxa" w:w="2880"/>
          </w:tcPr>
          <w:p>
            <w:r>
              <w:t>Release Manager</w:t>
            </w:r>
          </w:p>
        </w:tc>
        <w:tc>
          <w:tcPr>
            <w:tcW w:type="dxa" w:w="2880"/>
          </w:tcPr>
          <w:p>
            <w:r>
              <w:t>In Progress</w:t>
            </w:r>
          </w:p>
        </w:tc>
      </w:tr>
    </w:tbl>
    <w:p>
      <w:pPr>
        <w:pStyle w:val="Heading1"/>
      </w:pPr>
      <w:r>
        <w:t>Root Cause</w:t>
      </w:r>
    </w:p>
    <w:p>
      <w:r>
        <w:t>Systems are monitored via Azure AD and alert routing in Microsoft 365. Evidence artifacts are retained in Microsoft 365 for at least 36 months.</w:t>
      </w:r>
    </w:p>
    <w:p>
      <w:r>
        <w:t>Stakeholders include the Release Manager, service owner, and compliance lead for approvals. Regional teams in APAC follow the same policy with localized legal review. The process integrates with Monitoring Stack and depends on Azure AD for telemetry signals.</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The Compliance team coordinates with Release Manager to maintain operational readiness.</w:t>
      </w:r>
    </w:p>
    <w:p>
      <w:pPr>
        <w:pStyle w:val="Heading1"/>
      </w:pPr>
      <w:r>
        <w:t>Follow-Up Actions</w:t>
      </w:r>
    </w:p>
    <w:p>
      <w:r>
        <w:t>The Compliance team coordinates with Release Manager to maintain operational readiness. Stakeholders include the Release Manager, service owner, and compliance lead for approvals. The process integrates with Monitoring Stack and depends on Azure AD for telemetry signals.</w:t>
      </w:r>
    </w:p>
    <w:p>
      <w:r>
        <w:t>The Compliance organization uses Azure AD to enforce consistent service baselines. The Compliance organization uses Azure AD to enforce consistent service baselines. The Compliance organization uses Azure AD to enforce consistent service baselines.</w:t>
      </w:r>
    </w:p>
    <w:p>
      <w:pPr>
        <w:pStyle w:val="ListBullet"/>
      </w:pPr>
      <w:r>
        <w:t>The Compliance organization uses Azure AD to enforce consistent service baselines.</w:t>
      </w:r>
    </w:p>
    <w:p>
      <w:pPr>
        <w:pStyle w:val="ListBullet"/>
      </w:pPr>
      <w:r>
        <w:t>The Compliance team coordinates with Release Manager to maintain operational readiness.</w:t>
      </w:r>
    </w:p>
    <w:p>
      <w:pPr>
        <w:pStyle w:val="ListBullet"/>
      </w:pPr>
      <w:r>
        <w:t>Escalations should follow the on-call rotation with a response target of 45 minutes.</w:t>
      </w:r>
    </w:p>
    <w:p>
      <w:pPr>
        <w:pStyle w:val="ListBullet"/>
      </w:pPr>
      <w:r>
        <w:t>All changes require peer review and validation in the Monitoring Stack before production promotion.</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