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Compliance EU v2.1</w:t>
      </w:r>
    </w:p>
    <w:p>
      <w:r>
        <w:t>Department: Compliance</w:t>
      </w:r>
    </w:p>
    <w:p>
      <w:r>
        <w:t>Author: Morgan Brown</w:t>
      </w:r>
    </w:p>
    <w:p>
      <w:r>
        <w:t>Created date: 2024-08-28</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Evidence artifacts are retained in Google Workspace for at least 12 months. Escalations should follow the on-call rotation with a response target of 60 minutes.</w:t>
      </w:r>
    </w:p>
    <w:p>
      <w:r>
        <w:t>All incidents are tagged with severity and mapped to service tiers. The Compliance organization uses Datadog to enforce consistent service baselines. Systems are monitored via Datadog and alert routing in Google Workspace. Risk acceptance must be documented and revalidated each quarter.</w:t>
      </w:r>
    </w:p>
    <w:p>
      <w:pPr>
        <w:pStyle w:val="ListBullet"/>
      </w:pPr>
      <w:r>
        <w:t>Audit sampling occurs monthly and is summarized in leadership dashboards.</w:t>
      </w:r>
    </w:p>
    <w:p>
      <w:pPr>
        <w:pStyle w:val="ListBullet"/>
      </w:pPr>
      <w:r>
        <w:t>Systems are monitored via Datadog and alert routing in Google Workspace.</w:t>
      </w:r>
    </w:p>
    <w:p>
      <w:pPr>
        <w:pStyle w:val="ListBullet"/>
      </w:pPr>
      <w:r>
        <w:t>All incidents are tagged with severity and mapped to service tiers.</w:t>
      </w:r>
    </w:p>
    <w:p>
      <w:pPr>
        <w:pStyle w:val="ListBullet"/>
      </w:pPr>
      <w:r>
        <w:t>Evidence artifacts are retained in Google Workspace for at least 12 months.</w:t>
      </w:r>
    </w:p>
    <w:p>
      <w:pPr>
        <w:pStyle w:val="ListBullet"/>
      </w:pPr>
      <w:r>
        <w:t>This document aligns with HIPAA requirements and supports EU data residency expectations.</w:t>
      </w:r>
    </w:p>
    <w:p>
      <w:pPr>
        <w:pStyle w:val="ListBullet"/>
      </w:pPr>
      <w:r>
        <w:t>Stakeholders include the Security Analyst, service owner, and compliance lead for approvals.</w:t>
      </w:r>
    </w:p>
    <w:p>
      <w:pPr>
        <w:pStyle w:val="Heading1"/>
      </w:pPr>
      <w:r>
        <w:t>Timeline</w:t>
      </w:r>
    </w:p>
    <w:p>
      <w:r>
        <w:t>Evidence artifacts are retained in Google Workspace for at least 12 months. Teams must log requests in Google Workspace and track outcomes in Log Aggregation Cluster for audit readiness.</w:t>
      </w:r>
    </w:p>
    <w:p>
      <w:r>
        <w:t>Audit sampling occurs monthly and is summarized in leadership dashboards. Escalations should follow the on-call rotation with a response target of 60 minutes. Audit sampling occurs monthly and is summarized in leadership dashboards. Teams must log requests in Google Workspace and track outcomes in Log Aggregation Cluster for audit readiness.</w:t>
      </w:r>
    </w:p>
    <w:p>
      <w:pPr>
        <w:pStyle w:val="ListBullet"/>
      </w:pPr>
      <w:r>
        <w:t>Evidence artifacts are retained in Google Workspace for at least 12 months.</w:t>
      </w:r>
    </w:p>
    <w:p>
      <w:pPr>
        <w:pStyle w:val="ListBullet"/>
      </w:pPr>
      <w:r>
        <w:t>The Compliance team coordinates with Security Analyst to maintain operational readiness.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The Compliance organization uses Datadog to enforce consistent service baselines.</w:t>
      </w:r>
    </w:p>
    <w:p>
      <w:pPr>
        <w:pStyle w:val="ListBullet"/>
      </w:pPr>
      <w:r>
        <w:t>Evidence artifacts are retained in Google Workspace for at least 12 months.</w:t>
      </w:r>
    </w:p>
    <w:p>
      <w:pPr>
        <w:pStyle w:val="Heading1"/>
      </w:pPr>
      <w:r>
        <w:t>Impact Analysis</w:t>
      </w:r>
    </w:p>
    <w:p>
      <w:r>
        <w:t>Risk acceptance must be documented and revalidated each quarter. The Compliance team coordinates with Security Analyst to maintain operational readiness. Regional teams in EU follow the same policy with localized legal review. Stakeholders include the Security Analyst, service owner, and compliance lead for approvals.</w:t>
      </w:r>
    </w:p>
    <w:p>
      <w:r>
        <w:t>Evidence artifacts are retained in Google Workspace for at least 12 months. Escalations should follow the on-call rotation with a response target of 60 minutes.</w:t>
      </w:r>
    </w:p>
    <w:p>
      <w:pPr>
        <w:pStyle w:val="ListBullet"/>
      </w:pPr>
      <w:r>
        <w:t>The process integrates with Log Aggregation Cluster and depends on Datadog for telemetry signals.</w:t>
      </w:r>
    </w:p>
    <w:p>
      <w:pPr>
        <w:pStyle w:val="ListBullet"/>
      </w:pPr>
      <w:r>
        <w:t>Evidence artifacts are retained in Google Workspace for at least 12 months.</w:t>
      </w:r>
    </w:p>
    <w:p>
      <w:pPr>
        <w:pStyle w:val="ListBullet"/>
      </w:pPr>
      <w:r>
        <w:t>Stakeholders include the Security Analyst, service owner, and compliance lead for approvals.</w:t>
      </w:r>
    </w:p>
    <w:p>
      <w:pPr>
        <w:pStyle w:val="Heading1"/>
      </w:pPr>
      <w:r>
        <w:t>Root Cause</w:t>
      </w:r>
    </w:p>
    <w:p>
      <w:r>
        <w:t>Systems are monitored via Datadog and alert routing in Google Workspace. Risk acceptance must be documented and revalidated each quarter. The Compliance team coordinates with Security Analyst to maintain operational readiness.</w:t>
      </w:r>
    </w:p>
    <w:p>
      <w:pPr>
        <w:pStyle w:val="ListBullet"/>
      </w:pPr>
      <w:r>
        <w:t>This document aligns with HIPAA requirements and supports EU data residency expectations.</w:t>
      </w:r>
    </w:p>
    <w:p>
      <w:pPr>
        <w:pStyle w:val="ListBullet"/>
      </w:pPr>
      <w:r>
        <w:t>This document aligns with HIPAA requirements and supports EU data residency expectations.</w:t>
      </w:r>
    </w:p>
    <w:p>
      <w:pPr>
        <w:pStyle w:val="ListBullet"/>
      </w:pPr>
      <w:r>
        <w:t>The Compliance organization uses Datadog to enforce consistent service baselines.</w:t>
      </w:r>
    </w:p>
    <w:p>
      <w:pPr>
        <w:pStyle w:val="ListBullet"/>
      </w:pPr>
      <w:r>
        <w:t>Regional teams in EU follow the same policy with localized legal review.</w:t>
      </w:r>
    </w:p>
    <w:p>
      <w:pPr>
        <w:pStyle w:val="ListBullet"/>
      </w:pPr>
      <w:r>
        <w:t>We prioritize customer impact, data integrity, and regulatory alignment.</w:t>
      </w:r>
    </w:p>
    <w:p>
      <w:pPr>
        <w:pStyle w:val="ListBullet"/>
      </w:pPr>
      <w:r>
        <w:t>Teams must log requests in Google Workspace and track outcomes in Log Aggregation Cluster for audit readiness.</w:t>
      </w:r>
    </w:p>
    <w:p>
      <w:pPr>
        <w:pStyle w:val="Heading1"/>
      </w:pPr>
      <w:r>
        <w:t>Follow-Up Actions</w:t>
      </w:r>
    </w:p>
    <w:p>
      <w:r>
        <w:t>Escalations should follow the on-call rotation with a response target of 60 minutes. Evidence artifacts are retained in Google Workspace for at least 12 months. All changes require peer review and validation in the Log Aggregation Cluster before production promotion. Risk acceptance must be documented and revalidated each quarter.</w:t>
      </w:r>
    </w:p>
    <w:p>
      <w:r>
        <w:t>This document aligns with HIPAA requirements and supports EU data residency expectations. Audit sampling occurs monthly and is summarized in leadership dashboards. Teams must log requests in Google Workspace and track outcomes in Log Aggregation Cluster for audit readiness.</w:t>
      </w:r>
    </w:p>
    <w:p>
      <w:pPr>
        <w:pStyle w:val="ListBullet"/>
      </w:pPr>
      <w:r>
        <w:t>Evidence artifacts are retained in Google Workspace for at least 12 months.</w:t>
      </w:r>
    </w:p>
    <w:p>
      <w:pPr>
        <w:pStyle w:val="ListBullet"/>
      </w:pPr>
      <w:r>
        <w:t>The Compliance team coordinates with Security Analyst to maintain operational readiness.</w:t>
      </w:r>
    </w:p>
    <w:p>
      <w:pPr>
        <w:pStyle w:val="ListBullet"/>
      </w:pPr>
      <w:r>
        <w:t>Evidence artifacts are retained in Google Workspace for at least 12 months.</w:t>
      </w:r>
    </w:p>
    <w:p>
      <w:pPr>
        <w:pStyle w:val="ListBullet"/>
      </w:pPr>
      <w:r>
        <w:t>Risk acceptance must be documented and revalidated each quarter.</w:t>
      </w:r>
    </w:p>
    <w:p>
      <w:pPr>
        <w:pStyle w:val="ListBullet"/>
      </w:pPr>
      <w:r>
        <w:t>Systems are monitored via Datadog and alert routing in Google Workspace.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Access review</w:t>
            </w:r>
          </w:p>
        </w:tc>
        <w:tc>
          <w:tcPr>
            <w:tcW w:type="dxa" w:w="2880"/>
          </w:tcPr>
          <w:p>
            <w:r>
              <w:t>Security Analyst</w:t>
            </w:r>
          </w:p>
        </w:tc>
        <w:tc>
          <w:tcPr>
            <w:tcW w:type="dxa" w:w="2880"/>
          </w:tcPr>
          <w:p>
            <w:r>
              <w:t>In Progress</w:t>
            </w:r>
          </w:p>
        </w:tc>
      </w:tr>
      <w:tr>
        <w:tc>
          <w:tcPr>
            <w:tcW w:type="dxa" w:w="2880"/>
          </w:tcPr>
          <w:p>
            <w:r>
              <w:t>Incident drill</w:t>
            </w:r>
          </w:p>
        </w:tc>
        <w:tc>
          <w:tcPr>
            <w:tcW w:type="dxa" w:w="2880"/>
          </w:tcPr>
          <w:p>
            <w:r>
              <w:t>Compliance</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