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Compliance EU v1.1</w:t>
      </w:r>
    </w:p>
    <w:p>
      <w:r>
        <w:t>Department: Compliance</w:t>
      </w:r>
    </w:p>
    <w:p>
      <w:r>
        <w:t>Author: Jordan Garcia</w:t>
      </w:r>
    </w:p>
    <w:p>
      <w:r>
        <w:t>Created date: 2024-01-06</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Regional teams in EU follow the same policy with localized legal review. Evidence artifacts are retained in Google Workspace for at least 12 months. Audit sampling occurs monthly and is summarized in leadership dashboards. Risk acceptance must be documented and revalidated each quarter.</w:t>
      </w:r>
    </w:p>
    <w:p>
      <w:r>
        <w:t>Regional teams in EU follow the same policy with localized legal review. The Compliance team coordinates with Platform Engineer to maintain operational readiness.</w:t>
      </w:r>
    </w:p>
    <w:p>
      <w:pPr>
        <w:pStyle w:val="ListBullet"/>
      </w:pPr>
      <w:r>
        <w:t>The Compliance team coordinates with Platform Engineer to maintain operational readiness.</w:t>
      </w:r>
    </w:p>
    <w:p>
      <w:pPr>
        <w:pStyle w:val="ListBullet"/>
      </w:pPr>
      <w:r>
        <w:t>Stakeholders include the Platform Engineer, service owner, and compliance lead for approvals.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This document aligns with GDPR requirements and supports EU data residency expectations.</w:t>
      </w:r>
    </w:p>
    <w:p>
      <w:pPr>
        <w:pStyle w:val="ListBullet"/>
      </w:pPr>
      <w:r>
        <w:t>Stakeholders include the Platform Engineer, service owner, and compliance lead for approvals.</w:t>
      </w:r>
    </w:p>
    <w:p>
      <w:pPr>
        <w:pStyle w:val="Heading1"/>
      </w:pPr>
      <w:r>
        <w:t>Timeline</w:t>
      </w:r>
    </w:p>
    <w:p>
      <w:r>
        <w:t>The Compliance team coordinates with Platform Engineer to maintain operational readiness. Teams must log requests in Google Workspace and track outcomes in ERP System for audit readiness. Teams must log requests in Google Workspace and track outcomes in ERP System for audit readiness. Regional teams in EU follow the same policy with localized legal review.</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Regional teams in EU follow the same policy with localized legal review.</w:t>
      </w:r>
    </w:p>
    <w:p>
      <w:pPr>
        <w:pStyle w:val="Heading1"/>
      </w:pPr>
      <w:r>
        <w:t>Impact Analysis</w:t>
      </w:r>
    </w:p>
    <w:p>
      <w:r>
        <w:t>Audit sampling occurs monthly and is summarized in leadership dashboards. The Compliance organization uses ServiceNow to enforce consistent service baselines. This document aligns with GDPR requirements and supports EU data residency expectations.</w:t>
      </w:r>
    </w:p>
    <w:p>
      <w:pPr>
        <w:pStyle w:val="ListBullet"/>
      </w:pPr>
      <w:r>
        <w:t>Teams must log requests in Google Workspace and track outcomes in ERP System for audit readiness.</w:t>
      </w:r>
    </w:p>
    <w:p>
      <w:pPr>
        <w:pStyle w:val="ListBullet"/>
      </w:pPr>
      <w:r>
        <w:t>All changes require peer review and validation in the ERP System before production promotion.</w:t>
      </w:r>
    </w:p>
    <w:p>
      <w:pPr>
        <w:pStyle w:val="ListBullet"/>
      </w:pPr>
      <w:r>
        <w:t>Systems are monitored via ServiceNow and alert routing in Google Workspace.</w:t>
      </w:r>
    </w:p>
    <w:p>
      <w:pPr>
        <w:pStyle w:val="ListBullet"/>
      </w:pPr>
      <w:r>
        <w:t>We prioritize customer impact, data integrity, and regulatory alignment.</w:t>
      </w:r>
    </w:p>
    <w:p>
      <w:pPr>
        <w:pStyle w:val="ListBullet"/>
      </w:pPr>
      <w:r>
        <w:t>Systems are monitored via ServiceNow and alert routing in Google Workspace.</w:t>
      </w:r>
    </w:p>
    <w:p>
      <w:pPr>
        <w:pStyle w:val="ListBullet"/>
      </w:pPr>
      <w:r>
        <w:t>Systems are monitored via ServiceNow and alert routing in Google Workspace.</w:t>
      </w:r>
    </w:p>
    <w:p>
      <w:pPr>
        <w:pStyle w:val="Heading1"/>
      </w:pPr>
      <w:r>
        <w:t>Root Cause</w:t>
      </w:r>
    </w:p>
    <w:p>
      <w:r>
        <w:t>This document aligns with GDPR requirements and supports EU data residency expectations. This document aligns with GDPR requirements and supports EU data residency expectations. All incidents are tagged with severity and mapped to service tiers. Systems are monitored via ServiceNow and alert routing in Google Workspace.</w:t>
      </w:r>
    </w:p>
    <w:p>
      <w:r>
        <w:t>Evidence artifacts are retained in Google Workspace for at least 12 months. Audit sampling occurs monthly and is summarized in leadership dashboards. The Compliance organization uses ServiceNow to enforce consistent service baselines. The process integrates with ERP System and depends on ServiceNow for telemetry signals.</w:t>
      </w:r>
    </w:p>
    <w:p>
      <w:pPr>
        <w:pStyle w:val="ListBullet"/>
      </w:pPr>
      <w:r>
        <w:t>The Compliance organization uses ServiceNow to enforce consistent service baselines.</w:t>
      </w:r>
    </w:p>
    <w:p>
      <w:pPr>
        <w:pStyle w:val="ListBullet"/>
      </w:pPr>
      <w:r>
        <w:t>The process integrates with ERP System and depends on ServiceNow for telemetry signals.</w:t>
      </w:r>
    </w:p>
    <w:p>
      <w:pPr>
        <w:pStyle w:val="ListBullet"/>
      </w:pPr>
      <w:r>
        <w:t>Teams must log requests in Google Workspace and track outcomes in ERP System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Platform Engineer</w:t>
            </w:r>
          </w:p>
        </w:tc>
        <w:tc>
          <w:tcPr>
            <w:tcW w:type="dxa" w:w="2880"/>
          </w:tcPr>
          <w:p>
            <w:r>
              <w:t>Blocked</w:t>
            </w:r>
          </w:p>
        </w:tc>
      </w:tr>
      <w:tr>
        <w:tc>
          <w:tcPr>
            <w:tcW w:type="dxa" w:w="2880"/>
          </w:tcPr>
          <w:p>
            <w:r>
              <w:t>Vendor check</w:t>
            </w:r>
          </w:p>
        </w:tc>
        <w:tc>
          <w:tcPr>
            <w:tcW w:type="dxa" w:w="2880"/>
          </w:tcPr>
          <w:p>
            <w:r>
              <w:t>Security</w:t>
            </w:r>
          </w:p>
        </w:tc>
        <w:tc>
          <w:tcPr>
            <w:tcW w:type="dxa" w:w="2880"/>
          </w:tcPr>
          <w:p>
            <w:r>
              <w:t>In Progress</w:t>
            </w:r>
          </w:p>
        </w:tc>
      </w:tr>
    </w:tbl>
    <w:p>
      <w:pPr>
        <w:pStyle w:val="Heading1"/>
      </w:pPr>
      <w:r>
        <w:t>Follow-Up Actions</w:t>
      </w:r>
    </w:p>
    <w:p>
      <w:r>
        <w:t>The Compliance organization uses ServiceNow to enforce consistent service baselines. Audit sampling occurs monthly and is summarized in leadership dashboards. We prioritize customer impact, data integrity, and regulatory alignment. This document aligns with GDPR requirements and supports EU data residency expectations.</w:t>
      </w:r>
    </w:p>
    <w:p>
      <w:r>
        <w:t>This document aligns with GDPR requirements and supports EU data residency expectations. Systems are monitored via ServiceNow and alert routing in Google Workspace. All incidents are tagged with severity and mapped to service tiers.</w:t>
      </w:r>
    </w:p>
    <w:p>
      <w:pPr>
        <w:pStyle w:val="ListBullet"/>
      </w:pPr>
      <w:r>
        <w:t>The process integrates with ERP System and depends on ServiceNow for telemetry signals.</w:t>
      </w:r>
    </w:p>
    <w:p>
      <w:pPr>
        <w:pStyle w:val="ListBullet"/>
      </w:pPr>
      <w:r>
        <w:t>Regional teams in EU follow the same policy with localized legal review.</w:t>
      </w:r>
    </w:p>
    <w:p>
      <w:pPr>
        <w:pStyle w:val="ListBullet"/>
      </w:pPr>
      <w:r>
        <w:t>Teams must log requests in Google Workspace and track outcomes in ERP System for audit readiness.</w:t>
      </w:r>
    </w:p>
    <w:p>
      <w:pPr>
        <w:pStyle w:val="ListBullet"/>
      </w:pPr>
      <w:r>
        <w:t>Risk acceptance must be documented and revalidated each quarter.</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