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Compliance EU v3.0</w:t>
      </w:r>
    </w:p>
    <w:p>
      <w:r>
        <w:t>Department: Compliance</w:t>
      </w:r>
    </w:p>
    <w:p>
      <w:r>
        <w:t>Author: Riley Patel</w:t>
      </w:r>
    </w:p>
    <w:p>
      <w:r>
        <w:t>Created date: 2026-05-18</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The Compliance organization uses Azure to enforce consistent service baselines. Teams must log requests in SAP and track outcomes in Identity Access Gateway for audit readiness. All changes require peer review and validation in the Identity Access Gateway before production promotion.</w:t>
      </w:r>
    </w:p>
    <w:p>
      <w:r>
        <w:t>Regional teams in EU follow the same policy with localized legal review. Risk acceptance must be documented and revalidated each quarter. The Compliance organization uses Azure to enforce consistent service baselines. The Compliance team coordinates with Product Manager to maintain operational readiness.</w:t>
      </w:r>
    </w:p>
    <w:p>
      <w:pPr>
        <w:pStyle w:val="ListBullet"/>
      </w:pPr>
      <w:r>
        <w:t>We prioritize customer impact, data integrity, and regulatory alignment.</w:t>
      </w:r>
    </w:p>
    <w:p>
      <w:pPr>
        <w:pStyle w:val="ListBullet"/>
      </w:pPr>
      <w:r>
        <w:t>Evidence artifacts are retained in SAP for at least 18 months.</w:t>
      </w:r>
    </w:p>
    <w:p>
      <w:pPr>
        <w:pStyle w:val="ListBullet"/>
      </w:pPr>
      <w:r>
        <w:t>Audit sampling occurs monthly and is summarized in leadership dashboards.</w:t>
      </w:r>
    </w:p>
    <w:p>
      <w:pPr>
        <w:pStyle w:val="ListBullet"/>
      </w:pPr>
      <w:r>
        <w:t>Teams must log requests in SAP and track outcomes in Identity Access Gateway for audit readiness.</w:t>
      </w:r>
    </w:p>
    <w:p>
      <w:pPr>
        <w:pStyle w:val="ListBullet"/>
      </w:pPr>
      <w:r>
        <w:t>All incidents are tagged with severity and mapped to service tiers.</w:t>
      </w:r>
    </w:p>
    <w:p>
      <w:pPr>
        <w:pStyle w:val="ListBullet"/>
      </w:pPr>
      <w:r>
        <w:t>The Compliance team coordinates with Product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Access review</w:t>
            </w:r>
          </w:p>
        </w:tc>
        <w:tc>
          <w:tcPr>
            <w:tcW w:type="dxa" w:w="2880"/>
          </w:tcPr>
          <w:p>
            <w:r>
              <w:t>Compliance</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bl>
    <w:p>
      <w:pPr>
        <w:pStyle w:val="Heading1"/>
      </w:pPr>
      <w:r>
        <w:t>Timeline</w:t>
      </w:r>
    </w:p>
    <w:p>
      <w:r>
        <w:t>Teams must log requests in SAP and track outcomes in Identity Access Gateway for audit readiness. Evidence artifacts are retained in SAP for at least 18 months.</w:t>
      </w:r>
    </w:p>
    <w:p>
      <w:pPr>
        <w:pStyle w:val="ListBullet"/>
      </w:pPr>
      <w:r>
        <w:t>This document aligns with SOX requirements and supports EU data residency expectations.</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All changes require peer review and validation in the Identity Access Gateway before production promotion.</w:t>
      </w:r>
    </w:p>
    <w:p>
      <w:pPr>
        <w:pStyle w:val="ListBullet"/>
      </w:pPr>
      <w:r>
        <w:t>Evidence artifacts are retained in SAP for at least 18 months.</w:t>
      </w:r>
    </w:p>
    <w:p>
      <w:pPr>
        <w:pStyle w:val="ListBullet"/>
      </w:pPr>
      <w:r>
        <w:t>This document aligns with SOX requirements and supports EU data residency expectations.</w:t>
      </w:r>
    </w:p>
    <w:p>
      <w:pPr>
        <w:pStyle w:val="Heading1"/>
      </w:pPr>
      <w:r>
        <w:t>Impact Analysis</w:t>
      </w:r>
    </w:p>
    <w:p>
      <w:r>
        <w:t>Systems are monitored via Azure and alert routing in SAP. All changes require peer review and validation in the Identity Access Gateway before production promotion.</w:t>
      </w:r>
    </w:p>
    <w:p>
      <w:pPr>
        <w:pStyle w:val="ListBullet"/>
      </w:pPr>
      <w:r>
        <w:t>Audit sampling occurs monthly and is summarized in leadership dashboards.</w:t>
      </w:r>
    </w:p>
    <w:p>
      <w:pPr>
        <w:pStyle w:val="ListBullet"/>
      </w:pPr>
      <w:r>
        <w:t>Teams must log requests in SAP and track outcomes in Identity Access Gateway for audit readiness.</w:t>
      </w:r>
    </w:p>
    <w:p>
      <w:pPr>
        <w:pStyle w:val="ListBullet"/>
      </w:pPr>
      <w:r>
        <w:t>Evidence artifacts are retained in SAP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Planned</w:t>
            </w:r>
          </w:p>
        </w:tc>
      </w:tr>
      <w:tr>
        <w:tc>
          <w:tcPr>
            <w:tcW w:type="dxa" w:w="2880"/>
          </w:tcPr>
          <w:p>
            <w:r>
              <w:t>Vendor check</w:t>
            </w:r>
          </w:p>
        </w:tc>
        <w:tc>
          <w:tcPr>
            <w:tcW w:type="dxa" w:w="2880"/>
          </w:tcPr>
          <w:p>
            <w:r>
              <w:t>Compliance</w:t>
            </w:r>
          </w:p>
        </w:tc>
        <w:tc>
          <w:tcPr>
            <w:tcW w:type="dxa" w:w="2880"/>
          </w:tcPr>
          <w:p>
            <w:r>
              <w:t>In Progress</w:t>
            </w:r>
          </w:p>
        </w:tc>
      </w:tr>
      <w:tr>
        <w:tc>
          <w:tcPr>
            <w:tcW w:type="dxa" w:w="2880"/>
          </w:tcPr>
          <w:p>
            <w:r>
              <w:t>Vendor check</w:t>
            </w:r>
          </w:p>
        </w:tc>
        <w:tc>
          <w:tcPr>
            <w:tcW w:type="dxa" w:w="2880"/>
          </w:tcPr>
          <w:p>
            <w:r>
              <w:t>Operations</w:t>
            </w:r>
          </w:p>
        </w:tc>
        <w:tc>
          <w:tcPr>
            <w:tcW w:type="dxa" w:w="2880"/>
          </w:tcPr>
          <w:p>
            <w:r>
              <w:t>In Progress</w:t>
            </w:r>
          </w:p>
        </w:tc>
      </w:tr>
    </w:tbl>
    <w:p>
      <w:pPr>
        <w:pStyle w:val="Heading1"/>
      </w:pPr>
      <w:r>
        <w:t>Root Cause</w:t>
      </w:r>
    </w:p>
    <w:p>
      <w:r>
        <w:t>Systems are monitored via Azure and alert routing in SAP. This document aligns with SOX requirements and supports EU data residency expectations. 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process integrates with Identity Access Gateway and depends on Azure for telemetry signals.</w:t>
      </w:r>
    </w:p>
    <w:p>
      <w:pPr>
        <w:pStyle w:val="ListBullet"/>
      </w:pPr>
      <w:r>
        <w:t>The process integrates with Identity Access Gateway and depends on Azure for telemetry signals.</w:t>
      </w:r>
    </w:p>
    <w:p>
      <w:pPr>
        <w:pStyle w:val="ListBullet"/>
      </w:pPr>
      <w:r>
        <w:t>All incidents are tagged with severity and mapped to service tiers.</w:t>
      </w:r>
    </w:p>
    <w:p>
      <w:pPr>
        <w:pStyle w:val="Heading1"/>
      </w:pPr>
      <w:r>
        <w:t>Follow-Up Actions</w:t>
      </w:r>
    </w:p>
    <w:p>
      <w:r>
        <w:t>Risk acceptance must be documented and revalidated each quarter. Systems are monitored via Azure and alert routing in SAP. The Compliance organization uses Azure to enforce consistent service baselines. Stakeholders include the Product Manager, service owner, and compliance lead for approvals.</w:t>
      </w:r>
    </w:p>
    <w:p>
      <w:r>
        <w:t>The process integrates with Identity Access Gateway and depends on Azure for telemetry signals. Teams must log requests in SAP and track outcomes in Identity Access Gateway for audit readiness. This document aligns with SOX requirements and supports EU data residency expectations.</w:t>
      </w:r>
    </w:p>
    <w:p>
      <w:pPr>
        <w:pStyle w:val="ListBullet"/>
      </w:pPr>
      <w:r>
        <w:t>The Compliance organization uses Azure to enforce consistent service baselines.</w:t>
      </w:r>
    </w:p>
    <w:p>
      <w:pPr>
        <w:pStyle w:val="ListBullet"/>
      </w:pPr>
      <w:r>
        <w:t>Stakeholders include the Product Manager, service owner, and compliance lead for approvals.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r>
        <w:tc>
          <w:tcPr>
            <w:tcW w:type="dxa" w:w="2880"/>
          </w:tcPr>
          <w:p>
            <w:r>
              <w:t>Patch window</w:t>
            </w:r>
          </w:p>
        </w:tc>
        <w:tc>
          <w:tcPr>
            <w:tcW w:type="dxa" w:w="2880"/>
          </w:tcPr>
          <w:p>
            <w:r>
              <w:t>Compliance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